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netiek atbalstītas tādas projekta iesniedzēja darbības, kurām atbalsts ir kvalificējams kā komercdarbības atbalsts. Pasākuma ietvaros atbalsts tiek piešķirts, lai saskaņā ar normatīvajiem aktiem pašvaldību darbības jomā īstenotu pašvaldības autonomās funkcijas –  gādāt par iedzīvotāju izglītību un nodrošināt iedzīvotājiem atbalstu sociālo problēmu risināšanā, kā arī iespēju saņemt sociālo palīdzību un sociālos pakalpojumus un sniegt iedzīvotājiem daudzveidīgu kultūras piedāvājumu, un iespēju piedalīties kultūras dzīvē – un nodrošinātu no šīm autonomajām funkcijām izrietošo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līdzfinansējuma daļa ir pietiekoši liela, lai tiktu piešķirta iespēja iegādāties autobusus ‘’bez ierobežojumiem’’. Uz šo, kā bremzējošu apstākli, norādījušas visas RACA pašvaldības. Šobrīd joprojām izmaksas pret ieguvumu un ierobežojumiem nav samērīgas. Ja izvēlas nosacīti lētāku autobusu, tā veiktspēja nav liela, bet izmaksas, kas kopā sastāda autobusa cenu ar lādēšanas iekārtu, ir lielas. Šis kopums mudina pašvaldībās iegādāties ierastos dīzeļdegvielas autobusus, kas ir ievērojami lētāki, izmantojami bez papildus riskiem (uz visiem ceļu segumiem, visos gadalaikos) un visām pašvaldības funkcijām, kurām nepieciešams autobuss.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motivētu iegādāties bezemisiju autobusus, aicinām domāt par vēl plašāku tvērumu iegādāto bezemisiju transportlīdzekļu izmantošanā (vislabāk uzticēt vietvarām pašām izvērtēt, kurai no funkcijām tas tiks izmantots, neveicot konkrētu ierobežojošo uzskaitījumu). Bez tam, ja kādai jomai šis autobuss tiek nodots, to ir jāvar izmantot visaptveroši (skolēnu pārvadājumu ziņā - arī lai apmeklētu sporta skolas, mūzikas skolas, mākslas skolas, interešu izglītības pulciņus, visu, kas attiecas uz skolēniem). Tāpat būtu nepieciešams atļaut izmantot iegādātos bezemisiju autobusus veselības pakalpojuma sniegšanā, ja tas ir tobrīd nepieciešams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programmas rezultāta rādītāju – jaunā vai modernizētā publiskā transporta lietotāju skaits gadā – vismaz 323 000 lietotāji (turpmāk – pasažieri) gadā, tai skaitā par Taisnīgas pārkārtošanās fonda finansējumu, kas pieejams līdz 2025. gada 31. decembrim – 301 786 pasažieri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20.09.2023. tikšanās laikā ar ministriju runāto, aicinām precizēt anotācijā, kā tiks uzskaitīts rezultatīvais rādītājs "vismaz 323 000 lietotāji (turpmāk – pasažieri) gadā". Aicinām neizvēlēties dārgas elektroniskās uzskaites sistēmas, tas varētu mazināt interesi par šo programmu un sašaurināt iesniedzēju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kas pēc civiltiesiskā līguma vai vienošanās par projekta īstenošanu noslēgšanas ir finansējuma saņēmējs, pasākuma ietvaros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RACA pašvaldībām Tukuma un Limbažu novada pašvaldības joprojām nav ietvertas saņēmēju sarakstā.  Aicinām rast finansējuma avotus, ko var apgūt šīs pašvaldībās, lai tās netiktu diskriminētas!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jaunu M1, M2 un M3 kategorijas mehānisko transportlīdzekļu iegāde, kas atbilst Eiropas Parlamenta un Padomes 2018. gada 30. maija Regulas (ES) </w:t>
            </w:r>
            <w:r w:rsidR="00000000" w:rsidRPr="00000000" w:rsidDel="00000000">
              <w:rPr>
                <w:rtl w:val="0"/>
              </w:rPr>
              <w:t xml:space="preserve">Nr. 2018/858</w:t>
            </w:r>
            <w:r w:rsidR="00000000" w:rsidRPr="00000000" w:rsidDel="00000000">
              <w:rPr>
                <w:rtl w:val="0"/>
              </w:rPr>
              <w:t xml:space="preserve"> </w:t>
            </w:r>
            <w:r w:rsidR="00000000" w:rsidRPr="00000000" w:rsidDel="00000000">
              <w:rPr>
                <w:i w:val="1"/>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00000000" w:rsidRPr="00000000" w:rsidDel="00000000">
              <w:rPr>
                <w:rtl w:val="0"/>
              </w:rPr>
              <w:t xml:space="preserve">, 4. panta 1. punkta “a” apakšpunktā noteiktajam transportlīdzekļu kategoriju dalījumam un kuri darbojas ar elektroenerģiju. Minēto transportlīdzekļu nobraukums starp pilnas uzlādes reizēm atbilstoši normatīvajiem aktiem par mopēdu, mehānisko transportlīdzekļu, to piekabju un sastāvdaļu atbilstības novērtēšanu testa braukšanas ciklam pilsētas apstākļos vai ārpus pilsētas ir vismaz 200 kilometri (turpmāk – km) un transportlīdzekļu maksimālais ātrums ir vismaz 70 km stundā. Šo noteikumu izpratnē ar jaunu M1, M2 vai M3 kategorijas bezemisiju transportlīdzekli saprot: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Precizējošs jautājums: vai ir aizliegts elektroautobusu uzsildīšanai un dzesēšanai izmantot dīzeļdegvielu?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būtu precizējama, taču Latvijā ražotie elektroautobusi uzsildīšanai un dzesēšanai izmantojot dīzeļdegvielu, lai palielinātu autobusa veiktspēju. Risks, ka ilgtermiņā, kad autobusa baterijas būs nedaudz palietojušās un veiktspēja būs samazinājusies, var rasties situācijas, kad pasažieriem ir jāsalst vai jāsvīst, jo šoferis neslēgs apsildi/dzesēšanu, lai vispār sasniegtu galamērķi.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22.09.2023. 21.09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22.09.2023. 21.09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