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attīstības pamatnostādņu 2021. – 2027. gadam „Nākotnes prasmes nākotnes sabiedrībai” RĪCĪBAS PLĀNS 2024. –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koriģēt pasākuma 3.3.2.3.a rezultatīvo rādītāju. Informējam, ka 2024. gadā tika veikts izvērtējums. Paša modeļa izstrāde un īstenošana ir tapšanā, un atbilstoši VRP 29.7. punktam termiņš modeļa īstenošanai ir 30.10.2026.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lūdzam izvērtēt nepieciešamību pasākumam 3.3.2.3.a. iekļaušanu plānā, ņemot vērā, ka izvērtējums ir veikts.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Veikts izvērtējums par efektīvāko atbalsta instrumentu darba ņēmēju kvalifikācijas celšanai un pārkvalifikācijai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(sadarbībā ar darba devēju organizācijām) darba tirgū pieprasīto prasmju apguvei. Termiņš: 2024.g. 4. ceturksnis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Ingvars Kudeikins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izvērtēt nepieciešamību pasākumam 3.3.2.1.c. iekļaušanu plānā, ņemot vērā, ka uzdevums ir izpildīts – monitoringa dati publicēti Darba tirgus ziņojumā.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Ingvars Kudeikins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izvērtēt sadaļā "M3. Atbalsts" nepieciešamību iekļaut darbības rezultātu Nr. 3.3.2.1.a, ņemot vērā, ka Ekonomikas ministrija jau ir izveidojusi minēto komisiju.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Zimele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sadaļā "M3.Atbalsts" apvienot darbības rezultātus Nr.3.3.2.3.b vienā rindā, ņemot vērā, ka rezultāts un apraksti ir vienādi, atstājot izpildes termiņu 2025.gada 4.cet.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Zimele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attīstības pamatnostādņu 2021. – 2027. gadam „Nākotnes prasmes nākotnes sabiedrībai” RĪCĪBAS PLĀNS 2024. – 2025.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Dokumentā “IZM_pamatn_RP_2024-2025.xlsx” izklājlapā “Politikas rezultāti” parādās augstākās izglītības personāla dati (1.1. punkts) ar atsauci uz CSP veidlapu “1-augstskola, koledža”.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Dati ir no 2022./2023. gada veidlapas, bet norādīts, ka tās ir 2024. gada aktuālās vērtības. Iesakām izmantot 2023./2024. gada veidlapu. Vērtības: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20,6% (ja pilnā slodze)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22,7% (ja pilnā un vairāk slodzes – ir 26 cilvēki ar 1,5-2 slodzi).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Ance Ceriņa (CSP)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15.01.2025.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15.01.2025.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