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“Valsts autoceļu attīstības stratēģiju līdz 2040.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22.07.2025.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22.07.2025.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