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peļņas atstāšanas kapitālsabiedrībai pamatojums ir papildināts, tomēr Valsts kancelejas iepriekš izteiktais iebildums nav ņemts vērā, jo nav skaidrots, kāpēc peļņa netiek novirzīta iepriekšējo gadu zaudējumu segšanai (31.12.2023. uzkrātie zaudējumi bilancē 7 524 766 EUR), jo, peļņu ieskaitot Rezervēs, uzkrāto zaudējumu apmērs nesamazināsies.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jau iepriekš norādīja, ka arī anotācijā jāatsaucas uz to pašu punktu, kas ir rīkojumā, tas ir, uz MK 2022. gada 25. janvāra noteikumu Nr.72 "Kārtība, kādā tiek prognozēti, noteikti un veikti maksājumi par valsts kapitāla izmantošanu" 9.1.3.punktu, kas ir iekļauts arī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11.02.2025.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11.02.2025.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Atzinumi_24-TA-3138.docx</dc:title>
</cp:coreProperties>
</file>

<file path=docProps/custom.xml><?xml version="1.0" encoding="utf-8"?>
<Properties xmlns="http://schemas.openxmlformats.org/officeDocument/2006/custom-properties" xmlns:vt="http://schemas.openxmlformats.org/officeDocument/2006/docPropsVTypes"/>
</file>