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tā, vai transportlīdzeklis atradās kustībā, ir nodarīts kaitējums trešajai personai un kuram iestājoties paredzēta apdrošināšanas atlīdzības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likumprojektā piedāvāto termina "apdrošināšanas gadījums" skaidrojumu, aizstājot tajā vārdus "nodarīts kaitējums" ar vārdiem "nodarīti zaudējumi", tādējādi nodrošinot, ka likumprojektā lietotā terminoloģija atbilst jau šobrīd spēkā esošajā Sauszemes transportlīdzekļu īpašnieku civiltiesiskās atbildības obligātās apdrošināšanas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attiecīgi precizēt arī šobrīd spēkā esošo Sauszemes transportlīdzekļu īpašnieku civiltiesiskās atbildības obligātās apdrošināšanas likuma 54.panta otrās daļas 1.punkta regulējumu attiecībā uz tajā lietoto terminu "cietušais", ņemot vērā, ka pēc šā likumprojekta spēkā stāšanās šāda termina lietošana Sauszemes transportlīdzekļu īpašnieku civiltiesiskās atbildības obligātās apdrošināšanas likumā vairs netiek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Grozījumi attiecībā uz šā likuma 11. panta izslēgšanu,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50. panta pirmās daļas papildināšanu ar 6. punktu, otrās daļas izteikšanu jaunā redakcijā un papildināšanu ar ceturto daļu, 51. panta pirmās daļas 5. punkta izteikšanu jaunā redakcijā, papildināšanu ar 11. punktu un papildināšanu ar 2.</w:t>
            </w:r>
            <w:r w:rsidR="00000000" w:rsidRPr="00000000" w:rsidDel="00000000">
              <w:rPr>
                <w:vertAlign w:val="superscript"/>
                <w:rtl w:val="0"/>
              </w:rPr>
              <w:t xml:space="preserve">1</w:t>
            </w:r>
            <w:r w:rsidR="00000000" w:rsidRPr="00000000" w:rsidDel="00000000">
              <w:rPr>
                <w:rtl w:val="0"/>
              </w:rPr>
              <w:t xml:space="preserve"> daļu stājas spēkā šā likuma 51. panta 2.</w:t>
            </w:r>
            <w:r w:rsidR="00000000" w:rsidRPr="00000000" w:rsidDel="00000000">
              <w:rPr>
                <w:vertAlign w:val="superscript"/>
                <w:rtl w:val="0"/>
              </w:rPr>
              <w:t xml:space="preserve">1</w:t>
            </w:r>
            <w:r w:rsidR="00000000" w:rsidRPr="00000000" w:rsidDel="00000000">
              <w:rPr>
                <w:rtl w:val="0"/>
              </w:rPr>
              <w:t xml:space="preserve"> daļā minētā līguma noslēgšanas dienā vai sākot ar Eiropas Komisijas deleģētā akta (par Eiropas Ekonomikas zonas valsts garantiju fondu (kompensācijas iestāžu) procesuāliem pienākumiem attiecībā uz kaitējuma atlīdzināšanu) piemērošanas dienu, bet ne agrāk kā 2023. gada 23.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izslēgšanu, papildināšanu ar  1.</w:t>
            </w:r>
            <w:r w:rsidR="00000000" w:rsidRPr="00000000" w:rsidDel="00000000">
              <w:rPr>
                <w:vertAlign w:val="superscript"/>
                <w:rtl w:val="0"/>
              </w:rPr>
              <w:t xml:space="preserve">1</w:t>
            </w:r>
            <w:r w:rsidR="00000000" w:rsidRPr="00000000" w:rsidDel="00000000">
              <w:rPr>
                <w:rtl w:val="0"/>
              </w:rPr>
              <w:t xml:space="preserve"> daļu, otrās daļas 1. teikuma un trešās daļas izteikšanu jaunā redakcijā) stājas spēkā 2024. gada 23. aprīlī vai sākot ar Eiropas Komisijas deleģētā akta (par izziņas par apdrošināšanas vēstures noformēšanas un satura prasībām) piemērošanas dienu, atkarībā no tā, kura ir vēlāka.”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likumprojektā piedāvāto pārejas noteikumu 27.punkta redakciju, aizstājot tajā vārdus "kaitējuma atlīdzināšanu" ar vārdiem "zaudējumu atlīdzināšanu", tādējādi nodrošinot, ka likumprojektā lietotā terminoloģija atbilst jau šobrīd spēkā esošajā Sauszemes transportlīdzekļu īpašnieku civiltiesiskās atbildības obligātās apdrošināšanas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piedāvātajiem grozījumiem, kas paredz Sauszemes transportlīdzekļu īpašnieku civiltiesiskās atbildības obligātās apdrošināšanas likuma 3.panta trešās daļas 1.punkta papildināšanu ar jaunu c) apakšpunktu, secināms, ka no pienākuma apdrošināt transportlīdzekļa īpašnieka civiltiesisko atbildību turpmāk tiks atbrīvoti tikai tie transportlīdzekļu īpašnieki, kuri normatīvajos aktos par transportlīdzekļu reģistrāciju noteiktajā kārtībā uz laiku būs pārtraukuši transportlīdzekļa reģistrāciju valsts vai pašvaldību transportlīdzekļu reģistrā. Proti, no minētā regulējuma secināms, ka paredzēts mainīt nosacījumus, pie kādiem transportlīdzekļa īpašnieks turpmāk tiks atbrīvots no tam obligāti noteiktā pienākuma apdrošināt transportlīdzekļa īpašnieka civiltiesisko atbildību. Kā zināms patlaban gadījumā, ja konkrētais transportlīdzeklis netiek izmantots dalībai ceļu satiksmē, transportlīdzekļa īpašnieks ir tiesīgs neveikt arī transportlīdzekļa īpašnieka civiltiesiskās atbildības obligāto apdrošināšanu. Bet turpmāk to neveikt drīkstēs tikai tādā gadījumā, ja noteiktā kārtībā uz laiku tiks pārtraukta konkrētā transportlīdzekļa reģistrācija valsts vai pašvaldību transportlīdzekļu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šādām regulējuma izmaiņām konceptuāli neiebilst. Taču norādām, ka nav saprotams, ar kādiem līdzekļiem tiks panākta jaunā regulējuma izpilde. Proti, nav saprotams, kā tiks panākts, ka transportlīdzekļu īpašnieki apdrošina savu transportlīdzekļa īpašnieka civiltiesisko atbildību arī attiecībā uz tiem transportlīdzekļiem, kurus tie neizmanto ceļu satiksmē, bet vienlaikus nepārtrauc arī to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71.panta otrajā daļā ir paredzēta transportlīdzekļa īpašnieka saukšana pie administratīvās atbildības par tāda transportlīdzekļa izmantošanu ceļu satiksmē, par kuru nav veikta tā īpašnieka civiltiesiskās atbildības obligātā apdrošināšana. Tātad, lai par minētā pārkāpuma izdarīšanu varētu saukt transportlīdzekļa vadītāju pie administratīvās atbildības, ir nepieciešams konstatēt konkrētā transportlīdzekļa izmantošanu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pārskatīt administratīvās atbildības tvērumu. Un gadījumā, ja tiek konstatēta nepieciešamība izdarīt tajā attiecīgus grozījumus, lūdzam attiecīgi par to norādīt likumprojekta sākotnējās ietekmes novērtējuma ziņojumā (anotācijā), noteiktā kārtībā aizpildot tā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09.10.2023.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09.10.2023.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