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nodrošina prioritāru publisku pakalpojumu sniegšanu komersantiem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institūciju, kas nodrošina vienu kontaktpunktu prioritāro projektu apkalpošanai un informācijas apmaiņai;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pēc sarunām ar Ekonomikas ministriju ir precizējusi 08.04.2025.iesniegto iebildumu.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norāda, ka nebūtu atbilstoši, ja informācija par drošības un aizsardzības privātā sektora investīciju projektiem (īpaši tieši militārās ražošanas jomā) tiks apstrādāta līdzšinējā veidā, tai skaitā, tieši arī izmantojot  LIAA pārziņā esošo portālu www.business.gov.lv un apkopojot informāciju arī kopējos investīciju projektu sarakstos (kā minēts šobrīd: "iekļaujot komersantu valsts platformā biznesa attīstībai www.business.gov.lv publicētajā Sarakstā").  Šāda prakse noteikti neatbilst drošas informācijas aprites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projekti atbildīs aktuālajām drošības un aizsardzības vajadzībām un par tiem būs saņemti Aizsardzības ministrijas atzinumi, tad šāda informācija pirmšķietami būtu nodalāma atsevišķā informācijas un komunikācijas plūsmā.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Jāmin arī, ka iesaistīto iestāžu (publisko pakalpojumu nodrošināšanā "zaļā koridora" ietvaros) neierobežota piekļuve drošības un aizsardzības investīciju projektu informācijai nav pieļaujama.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komersants, kas plāno īstenot militārās ražošanas projektu, kas atbilst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pēc sarunām ar Ekonomikas ministriju ir precizējusi 08.04.2025.iesniegto iebildumu.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norāda, ka būtu jānosaka aizsardzības jomas prioritāro atbalstu kopumā šī regulējuma ietvaros un būtu jābūt plašākam šim tvērumam, kā, piemēram, iepriekš arī Aizsardzības ministrija tika sniegusi savā atzinumā par prioritārajiem projektiem, kuri attiecas uz komersantu, kurš ir iesaistīts aizsardzības industrijas projektos, kas nodrošina piegādes drošību un atbilst būtiskām valsts drošības interesēm. Aktuālajā redakcijā pievienotais 4.4.punkts attiecas tikai ar militāro ražošanu.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paplašināts tvērums būtu arī saskaņā ar Ekonomikas ministrijas iepriekš izziņā pausto - “Saskaņā ar Ministru prezidentes 2025. gada 11. marta rezolūciju Nr. 2025-1.1.1./9-9, kas ar mērķi veicināt aizsardzības industrijas attīstību un kopējo investīciju piesaisti Latvijā, uzdod Ekonomikas ministrijai sadarbībā ar nozares ministrijām attiecīgajos normatīvajos aktos noteikt, ka aizsardzības industrijas projektiem "zaļā koridora" ietvaros ir iespēja saņemt paātrinātā kārtībā valsts pārvaldes pakalpojumus būvniecības, ietekmes uz vidi novērtējuma, teritorijas plānošanas un migrācijas jomās”. Attiecīgi, aizsardzības industrija nenozīmē tikai militāro ražošanu, bet arī citas būtiskas aizsardzības spēju attīstības jomas, kur industrijas darbojas vai var darboties.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ka Aizsardzības ministrijas izstrādātajās vadlīnijās aizsardzības un drošības industrijas iesaistei aizsardzības spēju stiprināšanā kā prioritāro investīciju jomas tieši arī attiecībā uz vietējās industrijas iesaisti identificētas tādas jomas kā ekipējums, transporta nodrošinājums, bezpilotu sistēmas un citas drošības un aizsardzības jomas,</w:t>
            </w:r>
            <w:r w:rsidR="00000000" w:rsidRPr="00000000" w:rsidDel="00000000">
              <w:rPr>
                <w:u w:val="single"/>
                <w:rtl w:val="0"/>
              </w:rPr>
              <w:t xml:space="preserve"> kurām arī ir fundamentāli svarīgi izmantot "zaļā koridora" piedāvātās priekšrocības, kas identificētas jau šajā regulējumā.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Jāmin, ka arī saskaņā ar apstiprināto  Aizsardzības industrijas un inovāciju atbalsta stratēģiju 2025.-2036. gadu, "zaļais koridors" attiecas ne tikai uz militāro, bet arī duālo jomu aizsardzības industrijas kontekstā. Attiecīgi, "EM pilnveidos “zaļā koridora” saņemšanas nosacījumus, lai paātrinātu divējāda un militāra lietojuma produktu un tehnoloģiju izstrādi. “Zaļais koridors” ļauj uzņēmumiem daudz īsākā laikā saņemt nepieciešamo dokumentāciju plānoto aktivitāšu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4.4.2. ir saņēmis Aizsardzības ministrijas atzinumu par militārās ražošanas projekta atbilstību būtiskām drošības interesēm, kas saistītas ar ieroču, munīcijas un militārā aprīkojuma ražošanu.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aicina precizēt regulējumā vai tā anotācijā konkrētu kārtību, kādā tiks nodrošināta Aizsardzības ministrijas atzinuma saņemšana, ietverot arī informāciju par pieteikuma iesniegšanu šāda atzinuma saņemšanai un arī izvērtēšanas procesu (termiņi, forma, kritēriji).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ir, no šī brīža regulējuma nav saprotams, kādu informāciju Aizsardzības ministrija izmantos, lai šādu atzinumu sniegtu, kādā termiņā tas tiks darīts un kāds resursu apjoms tam būs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11.04.2025. 07.09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11.04.2025. 07.09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Atzinumi_24-TA-767.docx</dc:title>
</cp:coreProperties>
</file>

<file path=docProps/custom.xml><?xml version="1.0" encoding="utf-8"?>
<Properties xmlns="http://schemas.openxmlformats.org/officeDocument/2006/custom-properties" xmlns:vt="http://schemas.openxmlformats.org/officeDocument/2006/docPropsVTypes"/>
</file>