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5.4. apakšsadaļu, nodrošināt pilnīgus, salāgotus skaidrojumus par likumprojekta atbilstību Latvijas Republikas starptautiskajām saistībām. Atbilstoši likumprojekta 19. pantam, tas izpilda Padomes 2025. gada 14. aprīļa direktīvas (ES) 2025/872, ar ko groza direktīvu 2011/16/ES par administratīvu sadarbību nodokļu jomā 2. panta 1. punkta prasības. Savukārt anotācijas 1.3. apakšsadaļā norādīts uz saistību arī ar I pielikumu, bet 1. panta 2. punkts (grozīts Padomes 2011.gada 15.februāra direktīvas 2011/16/ES par administratīvu sadarbību nodokļu jomā un ar ko atceļ Direktīvu 77/799/EEK par administratīvu sadarbību nodokļu jomā 8.panta 3.a punkts) tiek saistīts ar 101., nevis 100.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14.07.2026.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14.07.2026.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Atzinumi_25-TA-2335.docx</dc:title>
</cp:coreProperties>
</file>

<file path=docProps/custom.xml><?xml version="1.0" encoding="utf-8"?>
<Properties xmlns="http://schemas.openxmlformats.org/officeDocument/2006/custom-properties" xmlns:vt="http://schemas.openxmlformats.org/officeDocument/2006/docPropsVTypes"/>
</file>