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līdz 2024. gada 31. decembrim apstiprināti 14 pētniecības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neveikt grozījumus šo noteikumu 7.1.1.apakšpunktā. Skaidrojam, ka ir būtiski nodrošināt, lai investīciju īstenošanas noteikumos tiktu pārņemti Padomes īstenošanas lēmuma, ar ko groza 2021. gada 13. jūlija īstenošanas lēmumu par Latvijas atveseļošanas un noturības plāna novērtējuma apstiprināšanu, nosacījumi, konkrētajā gadījumā mērķrādītāja Nr.47 īstenošanas termiņš. Informējam, ka 4.maksājumu pieprasījumu, kas ietver arī mērķrādītāja Nr.47 sasniegšanu, plānots iesniegt Eiropas Komisijai 2025.gada vidū. Attiecīgi rādītāja termiņa pagarinājums MK noteikumu līmenī nav nepieciešams, bet ar minēto skaidrojumu aicinām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Atbalstu projekta iesniedzējam nepiešķir Komisijas regulas Nr. 2023/2831 1. panta 1. punktā noteiktajām 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1.panta 1.punktā ir noteiktas ne tikai nozares, bet arī darbības, kurām nepiešķir atbalstu saskaņā ar Komisijas regulu Nr.2023/2831, lūdzam precizēt noteikumu 48.punktu,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projekta iesniedzējam nepiešķir Komisijas regulas Nr.2023/2831 1.panta 1.punktā noteiktajām nozarēm un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Komercdarbības atbalstu drīkst piešķirt tikai tad, ja atbalstāmās darbības un ar to īstenošanu saistītās finanšu plūsmas tiek skaidri nodalītas no citu darbības nozaru darbībām un finanšu plūsmām, nodrošinot, ka darbības neatbalstāmajās nozarēs negūst labumu no komercdarbības atbalsta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noteikumu projekta viennozīmīgi būtu skaidrs atbalsta saņēmēja pienākums nodrošināt atbalstāmo nozaru darbību un finanšu plūsmu nodalīšanu no neatbalstāmajām nozarēm, lūdzam noteikumu 51.punkta ievaddaļu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atbalstu drīkst piešķirt tikai tad, ja tiek skaidri nodalītas darbības un finanšu plūsmas atbalstāmās nozarēs, nodrošinot, ka darbības neatbalstāmajās nozarēs negūst labumu no pasākuma ietvaros piešķirtā atbalsta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13.03.2024.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13.03.2024.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