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primārās lauksaimniecības produkcijas ražotājiem kredītsaistību refinansēšanai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sniegto administratīvo izmaksu monetāro novērtējumu, jo aprēķina skaidrojumā nav pietiekami pamatotas aprēķinā izmantotās vērtības un to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anotācijā ir norādīts stundas samaksas likmes avots – Centrālās statistikas pārvaldes dati –, nav sniegts skaidrojums, kādēļ administratīvo izmaksu aprēķinā izmantota tieši 12,27 euro stundas likme un kādai nodarbināto kategorijai vai profesiju grupai tā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pamatots aprēķinā izmantotais laika patēriņš – 0,50 stundas –, norādot vienīgi, ka tas ir "aptuvens". Anotācijā nav skaidrots, kādas konkrētas darbības ir identificētas informācijas sniegšanas pienākuma izpildei, kā arī nav norādīts, uz kādu informāciju, pieņēmumiem, ekspertu vērtējumu vai mērķa grupas sniegtajiem datiem balstīts šāds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aprēķina skaidrojumu, norādot izmantotās stundas samaksas likmes izvēles pamatojumu un informācijas avotu, kā arī sniegt pamatotu skaidrojumu par laika patēriņa noteikšanā izmantotajiem pieņēmumiem, tostarp identificēt informācijas sniegšanas pienākuma izpildei nepieciešamās darbības un norādīt informācijas avotus, uz kuriem balstīts veiktais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2.4. apakšpunktā sniegto administratīvā sloga novērtējumu fiziskām personām, jo aprēķina skaidrojumā nav pietiekami pamatotas aprēķinā izmantotās vērtības un to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pamatots aprēķinā izmantotais laika patēriņš – 0,50 stundas –, norādot vienīgi, ka tas ir "aptuvens". Tāpat nav skaidrots, kādas konkrētas darbības ir identificētas informācijas sniegšanas pienākuma izpildei, kā arī nav norādīts, uz kādu informāciju, pieņēmumiem, ekspertu vērtējumu vai mērķa grupas sniegtajiem datiem balstīts šāds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anotācijā nav sniegts skaidrojums par administratīvā sloga monetārajā novērtējumā izmantotajiem izdevumiem 0,50 euro apmērā. No anotācijas nav iespējams izsecināt, kā ir iegūta minētā vērtība, kādas izmaksu pozīcijas tā ietver un kāds ir tās aprēķina pamatojums. Vienlaikus, ja administratīvā sloga monetārais novērtējums tiek veikts, izmantojot laika izmaksu pieeju, aprēķinā izmantotajām vērtībām ir jābūt savstarpēji saskaņotām un izsekojamām.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aprēķina skaidrojumu, identificējot informācijas sniegšanas pienākuma izpildei nepieciešamās darbības, sniedzot pamatotu skaidrojumu par laika patēriņa noteikšanā izmantotajiem pieņēmumiem un informācijas avotiem, kā arī precizēt un pamatot administratīvā sloga monetārajā novērtējumā izmantotos izdevumus 0,50 euro apmērā un to aprēķina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administratīvā sloga monetārais novērtējums tiek veikts, izmantojot laika izmaksu pieeju, izlietoto naudas līdzekļu apmērs ir aprēķināms, piemērojot attiecīgo stundas samaksas likmi faktiskajam laika patēriņam. Piemēram, ja informācijas sniegšanas pienākuma izpildei nepieciešamais laiks ir 0,50 stundas un tiek izmantota stundas samaksas likme 12,27 euro apmērā, monetārais novērtējums vienai darbības reizei veido 6,14 euro (12,27 × 0,50).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sadaļā sniegto informāciju par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1.3. apakšpunktā sniegtās informācijas izriet, ka noteikumu projekts paredz izveidot jaunu valsts atbalsta programmu un nosaka akciju sabiedrību "Attīstības finanšu institūcija Altum" par programmas īstenotāju, paredzot tai veikt aizdevumu pieteikumu pieņemšanu un izvērtēšanu, atbalsta piešķiršanu, de minimis atbalsta uzskaiti, kā arī citus ar programmas administrēšanu saistītus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anotācijā norādītais secinājums, ka projekts neietekmē institūciju funkcijas un uzdevumus, iekšējos procesus vai citus institucionālos aspektus. Jauna valsts atbalsta mehānisma ieviešana pēc būtības rada ietekmi uz projekta izpildē iesaistītās institūcijas darbību, pat ja netiek veidota jauna institūcija vai būtiski mainīta tās organizatoriskā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anotācijas 7.4. apakšpunktā atspoguļot, vai noteikumu projekts ietekmē AS "Attīstības finanšu institūcija Altum" funkciju un uzdevumu izpildi, iekšējo procesu organizāciju vai citus institucionālos procesus, kā arī attiecīgi precizēt anotācijas 7.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03.07.2026.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03.07.2026.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Atzinumi_26-TA-992.docx</dc:title>
</cp:coreProperties>
</file>

<file path=docProps/custom.xml><?xml version="1.0" encoding="utf-8"?>
<Properties xmlns="http://schemas.openxmlformats.org/officeDocument/2006/custom-properties" xmlns:vt="http://schemas.openxmlformats.org/officeDocument/2006/docPropsVTypes"/>
</file>