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E-lietas datu arhivēšanas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spēkā lēmums par atteikšanos uzsākt kriminālprocesu;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Ierosinu noteikumu projekta 2.1.5. un 2.1.6.apakšpunktus noformēt vienotā redakcionālā stilā, līdzīgi kā 2.1.4. un 2.1.2. apakšpunktos noteikts attiecībā par lēmumu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Kanaša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brīdī, kad kriminālprocesā, no kur izdalīts process, (turpmāk – pamatprocess) tiek pārtraukta e-lietas datu aprite elektronisko lietu katalogā, ja izdalītais process pabeigts pirmais;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2.2.1.apakšpunktā ieviesusies acīmredzama pārrakstīšanās kļūda, proti, vārda "kura" vietā norādīts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brīdī, kad kriminālprocesā, no kura izdalīts process, (turpmāk – pamatprocess) tiek pārtraukta e-lietas datu aprite elektronisko lietu katalogā, ja izdalītais process pabeigts pirmais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gadu pēc tam, kad no Fizisko personu reģistra saņemtas ziņas par personas, kas izdarījusi administratīvo pārkāpumu, nāvi vai kad no Latvijas Republikas Uzņēmumu reģistra vestajiem reģistriem saņemta ziņa par juridiskas personas, kas izdarījusi administratīvo pārkāpumu, likvidāciju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3.februāra noteikumu Nr.108 "Normatīvo aktu projektu sagatavošanas noteikumi"  2.2.apakšpunktā noteikts, ka normatīvā akta projekta tekstu raksta ievērojot valsts valodas literārās un gramatiskās normas, juridisko terminiloģiju un pareizrakstības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4.3.1. apakšpunkta pirmajā teikuma daļā norādīti vārdi daudzskaitlī "saņemtas ziņas", savukārt otrajā teikuma daļā norādīti vārdi vienskaitlī  "saņemta ziņa". Ņemot vērā, ka 4.3.1. apakšpunktā abos gadījumos aprakstīta ziņu saņemšana, šiem vārdiem vajadzētu būt rakstītiem vienā lietvārda skaitlī.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gadu pēc tam, kad no Fizisko personu reģistra saņemtas ziņas par personas, kas izdarījusi administratīvo pārkāpumu, nāvi vai kad no Latvijas Republikas Uzņēmumu reģistra vestajiem reģistriem saņemtas ziņas par juridiskas personas, kas izdarījusi administratīvo pārkāpumu, likvidāciju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 2023. gada 30. novembrim iestāde šajos noteikumus noteikto piemēro atbilstoši tehniskajām iespējām, bet Iekšlietu ministrijas Informācijas centra pārziņā esošās pamatdarbības informācijas sistēmas šajos noteikumos noteikto piemēro pēc minēto pamatdarbības informācijas sistēmu integrācijas un e-lietas datu aprites nodrošināšanas ar e-lietas platformu.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21.punktā ieviesusies acīmredzama pārrakstīšanās kļūda, proti, norādīta frāze "šajos noteikum</w:t>
            </w:r>
            <w:r w:rsidR="00000000" w:rsidRPr="00000000" w:rsidDel="00000000">
              <w:rPr>
                <w:b w:val="1"/>
                <w:rtl w:val="0"/>
              </w:rPr>
              <w:t xml:space="preserve">u</w:t>
            </w:r>
            <w:r w:rsidR="00000000" w:rsidRPr="00000000" w:rsidDel="00000000">
              <w:rPr>
                <w:rtl w:val="0"/>
              </w:rPr>
              <w:t xml:space="preserve">s" nevis "šajos noteikum</w:t>
            </w:r>
            <w:r w:rsidR="00000000" w:rsidRPr="00000000" w:rsidDel="00000000">
              <w:rPr>
                <w:b w:val="1"/>
                <w:rtl w:val="0"/>
              </w:rPr>
              <w:t xml:space="preserve">o</w:t>
            </w:r>
            <w:r w:rsidR="00000000" w:rsidRPr="00000000" w:rsidDel="00000000">
              <w:rPr>
                <w:rtl w:val="0"/>
              </w:rPr>
              <w:t xml:space="preser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 2023. gada 30. novembrim iestāde šajos noteikumos noteikto piemēro atbilstoši tehniskajām iespējām, bet Iekšlietu ministrijas Informācijas centra pārziņā esošās pamatdarbības informācijas sistēmas šajos noteikumos noteikto piemēro pēc minēto pamatdarbības informācijas sistēmu integrācijas un e-lietas datu aprites nodrošināšanas ar e-lietas platformu.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22-TA-2341</w:t>
    </w:r>
    <w:r>
      <w:br/>
    </w:r>
    <w:r w:rsidR="00000000" w:rsidRPr="00000000" w:rsidDel="00000000">
      <w:rPr>
        <w:rtl w:val="0"/>
      </w:rPr>
      <w:t xml:space="preserve">Izdrukāts 14.11.2022.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22-TA-2341</w:t>
    </w:r>
    <w:r>
      <w:br/>
    </w:r>
    <w:r w:rsidR="00000000" w:rsidRPr="00000000" w:rsidDel="00000000">
      <w:rPr>
        <w:rtl w:val="0"/>
      </w:rPr>
      <w:t xml:space="preserve">Izdrukāts 14.11.2022.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Atzinumi_22-TA-2341.docx</dc:title>
</cp:coreProperties>
</file>

<file path=docProps/custom.xml><?xml version="1.0" encoding="utf-8"?>
<Properties xmlns="http://schemas.openxmlformats.org/officeDocument/2006/custom-properties" xmlns:vt="http://schemas.openxmlformats.org/officeDocument/2006/docPropsVTypes"/>
</file>