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komunikācijas un vizuālās identitātes prasību nodrošināšanas nosacījumu, interešu konflikta neesamības prasību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kāpēc finansējuma saņēmējam avansu nepieciešams piešķirt līdz 50 procentiem no projektam piešķirtā Eiropas Reģionālās attīstības fonda finansējuma un valsts budžeta līdzfinansējuma kopsummas. Vēršam uzmanību, ka lielāku avansa apjomu, nekā tas  ir noteikts Ministru kabineta 2023. gada 25.aprīļa noteikumu Nr. 205 "Valsts budžeta līdzekļu plānošanas kārtība Eiropas Savienības fondu projektu īstenošanai un maksājumu veikšanai 2021.–2027. gada plānošanas periodā" 10.punktā ir  iespējams noteikt konkrētajā normatīvajā aktā par specifiskā atbalsta mērķa īstenošanu tikai ar atbilstošu izvērtējumu anotācijā un ja tas nepieciešams šī specifiskā atbalsta mērķa īstenošanai un ES fondu projektu savlaicīgai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pieejamību, attīstot kultūras pakalpojumus"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protokollēmuma projektu ar uzdevumu un termiņu Kultūras ministrijai 5.1.1.5. pasākuma “Unikāla Eiropas mēroga kultūras mantojuma atjaunošana, lai veicinātu to pieejamību, attīstot kultūras pakalpojumus” ietvaros vērtēt vienkāršoto izmaksu metodikas izstrādes iespējas projekta personāla atlīdzības izmaksām projektu īstenošanas stadijā (kad būs sasniegts noteikts ieviešanas progress un būs pieejami dati par atlīdzības izmaksām projektā), kā arī attiecībā uz projektiem, kuru īstenošana plānota vēlākā laika periodā par elastības finansējumu. Finanšu ministrijas ieskatā ir būtiski vērtēt iespējas pēc iespējas plašāk piemērot vienkāršoto izmaksu iespējas šajā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starpinstitūciju saskaņošanas procesā esošo regulējumu Kultūras ministrijas pārziņā esošā 5.1.1.7.pasākuma “Reģionālās kultūras infrastruktūras attīstība kultūras pakalpojumu piekļūstamības uzlabošanai” īstenošanai, aicinām šādu pieeju izmantot arī šajos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04.08.2023.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04.08.2023.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