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2.2.3. specifiskā atbalsta mērķa “Uzlabot dabas aizsardzību un bioloģisko daudzveidību, “zaļo” infrastruktūru, it īpaši pilsētvidē, un samazināt piesārņojumu” 2.2.3.7. pasākuma “Gaisa piesārņojošo vielu emisiju samazināšana pašvaldību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19.09.2023.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19.09.2023.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Atzinumi_23-TA-1822.docx</dc:title>
</cp:coreProperties>
</file>

<file path=docProps/custom.xml><?xml version="1.0" encoding="utf-8"?>
<Properties xmlns="http://schemas.openxmlformats.org/officeDocument/2006/custom-properties" xmlns:vt="http://schemas.openxmlformats.org/officeDocument/2006/docPropsVTypes"/>
</file>