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23-TA-2936: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2.2. reformu un investīciju virziena “Uzņēmumu digitālā transformācija un inovācijas” 2.2.1.5.i. investīcijas “Mediju nozares uzņēmumu digitālās transformācijas veicināšana” pasākuma “Mācības mediju nozares speciālistu digitālās kompetences un zināšanu pilnveidošanai”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 mediju nozares speciālistu skaits, kas paaugstinājuši kompetenci.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kopējo rādītāju definīcijas ir sniegtas Komisijas 2021. gada 28. septembra deleģētās regulas Nr.2021/2106, ar kuru, nosakot atveseļošanas un noturības rezultātu pārskata kopējos rādītājus un detalizētos elementus, papildina Eiropas Parlamenta un Padomes Regulu (ES) 2021/241, ar ko izveido Atveseļošanas un noturības mehānismu, pielikumā, lūdzam noteikumu projekta 5.2.3.apakspunktu izteikt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lūdzam precizēt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 izglītības vai apmācības dalībnieku skaits.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Investīcijas pasākuma noteiktais mērķrādītājs uzskatāms par izpildītu, kad Centrālajā finanšu un līgumu aģentūrā (turpmāk – aģentūra) iesniegti noslēgtie līgumi ar gala labuma guvējiem par mācību veikšanu digitālās kompetences un zināšanu pilnveidošanai ar vismaz 10 dažādiem mediju uzņēmumiem, aptverot vismaz 100 mediju nozares speciālistus.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1.3.sadaļā sniegto informāciju par rādītāju sadalījumu starp 2.2.1.5.i investīcijas pasākumiem, aicinām noteikt, ka pasākuma mērķrādītājs ir līdz 2026. gada 30. jūnijam atbalstīts viens projekts ar finansējuma saņēmēju. Savukārt rādītāju par 10 dažādiem mediju nozares saimnieciskās darbības veicējiem, aptverot vismaz 100 mediju nozares speciālistus, lūdzam izteikt kā nacionālo rādītāju.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Šo noteikumu </w:t>
            </w:r>
            <w:r w:rsidR="00000000" w:rsidRPr="00000000" w:rsidDel="00000000">
              <w:rPr>
                <w:rtl w:val="0"/>
              </w:rPr>
              <w:t xml:space="preserve">15.4. </w:t>
            </w:r>
            <w:r w:rsidR="00000000" w:rsidRPr="00000000" w:rsidDel="00000000">
              <w:rPr>
                <w:rtl w:val="0"/>
              </w:rPr>
              <w:t xml:space="preserve">apakšpunktā</w:t>
            </w:r>
            <w:r w:rsidR="00000000" w:rsidRPr="00000000" w:rsidDel="00000000">
              <w:rPr>
                <w:rtl w:val="0"/>
              </w:rPr>
              <w:t xml:space="preserve"> minētais atbalsts vienam gala labuma guvējam nepārsniedz 70 000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nosacījumu, ka finansējuma saņēmējs pārbauda gala labuma guvējus atbilstoši Eiropas Parlamenta un Padomes Regula (ES, Euratom) 2018/1046 (2018. gada 18. jūlijs) par finanšu noteikumiem, ko piemēro Savienības vispārējam budžetam, ar kuru groza Regulas (ES) Nr. 1296/2013, (ES) Nr. 1301/2013, (ES) Nr. 1303/2013, (ES) Nr. 1304/2013, (ES) Nr. 1309/2013, (ES) Nr. 1316/2013, (ES) Nr. 223/2014, (ES) Nr. 283/2014 un Lēmumu Nr. 541/2014/ES un atceļ Regulu (ES, Euratom) Nr. 966/2012 136. pantā minētajiem izslēgšanas kritērijiem.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Projekta iesniegumam pievieno projekta īstenošanas stratēģiju, iekšējās kontroles sistēmu korupcijas un interešu konflikta riska novēršanas iekšējo kārtību un procedūras aprakstu, kā tiks īstenota atklāta gala labuma guvēju atlase. Projekta īstenošanas stratēģijā ietver informāciju par mediju uzņēmumu digitālās kompetences un zināšanu pilnveidošanas programmas izveides principiem mediju uzņēmumu attīstībai un principiem, lai izvērtētu sasniegtos rezultātus.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noteikumu projekta 22.punktā norādītā informācija par projekta īstenošanas stratēģijā ietveramo informāciju ir norādāma noteikumu projektā, jo tā ir skaidrota noteikumu Anotācijā. Informāciju iekļaujot noteikumu projektā, tā ir jāpapildina ar otru nosacījumu, proti, ka "kritērijus, kā izvērtēs gala labuma guvēju darbības rezultātus, uz kuriem balstoties var novērtēt, ka gala labuma guvēja digitālās attīstības plāns ir īstenots un investīciju pasākuma mērķis ir sasniegts".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iesniegumam pievieno projekta īstenošanas stratēģiju, iekšējās kontroles sistēmu korupcijas un interešu konflikta riska novēršanas iekšējo kārtību un procedūras aprakstu, kā tiks īstenota atklāta gala labuma guvēju atlase. Projekta īstenošanas stratēģijā ietver informāciju par mediju uzņēmumu digitālās kompetences un zināšanu pilnveidošanas programmas izveides principiem mediju uzņēmumu attīstībai un principiem, lai izvērtētu sasniegtos rezultātus, kā arī kritērijus, kā izvērtēs gala labuma guvēju darbības rezultātus, uz kuriem balstoties var novērtēt, ka gala labuma guvēja digitālās attīstības plāns ir īstenots un investīciju pasākuma mērķis ir sasniegts.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Andžāne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Finansējuma saņēmēja lēmuma pieņemšanā par atbalsta sniegšanu gala labuma guvējiem iesaistītās personas ir uzskatāmas par valsts amatpersonām likuma Par interešu konflikta novēršanu valsts amatpersonu darbībā 4. panta trešās daļas izpratnē, bez pienākuma iesniegt valsts amatpersonu deklarāciju.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turpinās diskusijas ar kompetentajām iestādēm par amatpersonas statusa piemērošanu daudzpakāpju projektos, lai nodrošinātu labāko risinājumu interešu konflikta risku novēršanai. Pēc panāktās vienošanās informēsim par turpmāko rīcību. Aicinām atbildīgo iestādi izvērtēt, vai informācija par potenciālo amatpersonas statusu šobrīd nebūtu jāpārnes no MKN projekta 23.punkta uz anotāciju.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Finansējuma saņēmēja lēmums par atbalsta piešķiršanas atteikumu gala labuma guvējam nav pārsūdzams.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24.punktu nosakot iespēju gala labuma guvējiem pārsūdzēt finansējuma saņēmēja atbalsta piešķiršanas atteikumu Administratīvā procesa likumā noteiktajā kārtībā, jo atbalstu piešķir vai atsaka piešķirt ar amatpersonu izdotu lēmumu, minētajām amatpersonām pildot šajos noteikumos deleģēto publiskas pārvaldes uzdevumu. Par apstrīdēšanu un vai pārsūdzēšanu lūdzam skatīt Administratīvā procesa likuma 76.panta otrajā daļā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Investīcijas pasākuma ietvaros projektu var īstenot līdz 2026. gada 31. augustam.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MK noteikumos iekļautos termiņus projekta īstenošanai, rādītāju sasniegšanai un izdevumu veikšanai. Ņemot vērā 5.1.apakšpunktā un 13.punktā noteikto termiņu, aicinām arī 38.punktā projekta īstenošanu paredzēt līdz 2026. gada 30. jūnijam.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39.1. finansējuma saņēmējs avansa maksājumu var saņemt, ja ir atvēris kontu Valsts kasē vai darījumu kontu Latvijas Republikā reģistrētā kredītiestādē vai Eiropas Savienībā reģistrētā kredītiestādē, kas ir izsniegusi bankas garantiju par labu aģentūrai, iesniedzot aģentūrai pieprasījumu avansa maksājumam un pamatojot avansa maksājuma apmēru, vienlaikus nodrošinot, ka tas nepārsniedz 30 procentus no projekta kopējām attiecināmajām izmaksām. Finansējuma saņēmējs var saņemt vairākus avansus, paredzot, ka nākamo avansu var saņemt pēc tam, kad iepriekšējais saņemtais avanss ir apgūts pilnā apmērā un ir īstenota gala labuma guvēju atlase.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avansa saņemšanas nosacījumus un sasaistīt tos ar projekta ietvaros sasniedzamo mērķi. Ņemot vērā, ka pasākumā ir tikai viens mērķrādītājs, lūdzam izvērtēt iespēju un noteikt, ka pirmo avansu attiecina tikai tad, kad finansējuma saņēmējs ir atbalstījis 30% no projekta ietvaros paredzētajiem saimnieciskās darbības veicējiem un 30% no atbalstāmajiem mediju nozares speciālistiem. Attiecīgi otro un trešo avansu - tikai pēc 60% un 90% robežvērtības attiecīgi.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vai 39.3.apakšpunktā noteiktais nosacījums ir samērīgs.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efektīvu naudas plūsmu, investīcijas ieviešanas nosacījumos var norādīt konkrētu termiņu, kādā jāsasniedz attiecīgais atskaites punkts, izmantojot saņemto avansu, un kārtība, kādā tas atmaksājams, ja attiecīgais atskaites punkts konkrētajā termiņā netiek sasniegts.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23-TA-2936</w:t>
    </w:r>
    <w:r>
      <w:br/>
    </w:r>
    <w:r w:rsidR="00000000" w:rsidRPr="00000000" w:rsidDel="00000000">
      <w:rPr>
        <w:rtl w:val="0"/>
      </w:rPr>
      <w:t xml:space="preserve">Izdrukāts 22.12.2023. 08.57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23-TA-2936</w:t>
    </w:r>
    <w:r>
      <w:br/>
    </w:r>
    <w:r w:rsidR="00000000" w:rsidRPr="00000000" w:rsidDel="00000000">
      <w:rPr>
        <w:rtl w:val="0"/>
      </w:rPr>
      <w:t xml:space="preserve">Izdrukāts 22.12.2023. 08.57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Atzinumi_23-TA-2936.docx</dc:title>
</cp:coreProperties>
</file>

<file path=docProps/custom.xml><?xml version="1.0" encoding="utf-8"?>
<Properties xmlns="http://schemas.openxmlformats.org/officeDocument/2006/custom-properties" xmlns:vt="http://schemas.openxmlformats.org/officeDocument/2006/docPropsVTypes"/>
</file>