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 “Par eIDAS 2.0 regulas prasību ieviešanu"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06.01.2026.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06.01.2026.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