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budžeta izdevumu un nodokļu novērtējuma metodoloģija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Klimatnoturības un ekonomiskās ilgtspējas likuma 19.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Klimatnoturības un ekonomiskās ilgtspējas likuma 19. panta pēdējais teikums paredz, ka Ministru kabinets apstiprina valsts budžeta izdevumu un nodokļu novērtējuma metodoloģiju. Ņemot vērā to, ka minētā norma nav formulēta, izmantojot vienu no Ministru kabineta 2009. gada 3. februāra noteikumu Nr. 108 "Normatīvo aktu projektu sagatavošanas noteikumi" (turpmāk – sagatavošanas noteikumi) 47. punktā paredzētajiem paņēmieniem, lūdzam pamatot, ka minētajā likumā normā ir bijis paredzēts pilnvarojums Ministru kabinetam izdot ārējo normatīvo aktu. Vēršam uzmanību uz to, ka no likumprojekta "Ekonomiskās ilgtspējas likums" sākotnējās ietekmes novērtējuma ziņojuma (anotācijas) neizriet, ka normā ir dots pilnvarojums Ministru kabinetam izdot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Ministru kabineta noteikumu projektu "Valsts budžeta izdevumu un nodokļu novērtējuma metodoloģija" (turpmāk – projekts) izdot kā Ministru kabineta noteikumus, proti, ārējo normatīvo aktu, ņemot vērā to, ka projekta sākotnējās ietekmes novērtējuma ziņojumā (turpmāk - anotācija) ir norādīts, ka "</w:t>
            </w:r>
            <w:r w:rsidR="00000000" w:rsidRPr="00000000" w:rsidDel="00000000">
              <w:rPr>
                <w:i w:val="1"/>
                <w:rtl w:val="0"/>
              </w:rPr>
              <w:t xml:space="preserve">novērtējums papildinās esošo budžeta veidošanas procesu un ir izmantojams kā informatīva rakstura materiāls politikas veidotājiem par pamatbudžeta izdevumu un nodokļu atvieglojumu ietekmi uz vides mērķiem valsts budžeta veidošanas procesā</w:t>
            </w:r>
            <w:r w:rsidR="00000000" w:rsidRPr="00000000" w:rsidDel="00000000">
              <w:rPr>
                <w:rtl w:val="0"/>
              </w:rPr>
              <w:t xml:space="preserve">", kā arī projekts attieksies tikai uz valsts centrālajām institūcijām, proti, tas neattieksies uz privātpersonām. Vēršam uzmanību uz to, ka projektā paredzēto kārtību varētu noteikt ar jebkuru Ministru kabineta lēmumu vai iekšējo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metodoloģiju, kādā tiek veikts pamatbudžeta izdevumu un nodokļu atvieglojumu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ievērojot sagatavošanas noteikumu 100. punktā noteikto, atbilstoši Klimatnoturības un ekonomiskās ilgtspējas likuma 19.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ieviestas Eiropas Savienības tiesību akta - </w:t>
            </w:r>
            <w:r w:rsidR="00000000" w:rsidRPr="00000000" w:rsidDel="00000000">
              <w:rPr>
                <w:i w:val="1"/>
                <w:rtl w:val="0"/>
              </w:rPr>
              <w:t xml:space="preserve">Eiropas Parlamenta un Padomes 2020. gada 18. jūnija Regulas (ES) 2020/852 par regulējuma izveidi ilgtspējīgu ieguldījumu veicināšanai</w:t>
            </w:r>
            <w:r w:rsidR="00000000" w:rsidRPr="00000000" w:rsidDel="00000000">
              <w:rPr>
                <w:rtl w:val="0"/>
              </w:rPr>
              <w:t xml:space="preserve"> - prasības, lūdzam aizpildīt anotācijas 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Vīgante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26-TA-1459</w:t>
    </w:r>
    <w:r>
      <w:br/>
    </w:r>
    <w:r w:rsidR="00000000" w:rsidRPr="00000000" w:rsidDel="00000000">
      <w:rPr>
        <w:rtl w:val="0"/>
      </w:rPr>
      <w:t xml:space="preserve">Izdrukāts 26.06.2026.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26-TA-1459</w:t>
    </w:r>
    <w:r>
      <w:br/>
    </w:r>
    <w:r w:rsidR="00000000" w:rsidRPr="00000000" w:rsidDel="00000000">
      <w:rPr>
        <w:rtl w:val="0"/>
      </w:rPr>
      <w:t xml:space="preserve">Izdrukāts 26.06.2026.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Atzinumi_26-TA-1459.docx</dc:title>
</cp:coreProperties>
</file>

<file path=docProps/custom.xml><?xml version="1.0" encoding="utf-8"?>
<Properties xmlns="http://schemas.openxmlformats.org/officeDocument/2006/custom-properties" xmlns:vt="http://schemas.openxmlformats.org/officeDocument/2006/docPropsVTypes"/>
</file>