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23.5.2. pētniecības organizācija saņem no sadarbības partnera – saimnieciskās darbības veicēja – tādu atlīdzību (kompensāciju), kas ir līdzvērtīga tirgus cenai par intelektuālā īpašuma tiesībām, kuras izriet no pētniecības organizācijas veiktajām darbībām investīcijas projektā un kuras nodotas sadarbības partnerim vai uz kurām sadarbības partnerim tiek piešķirtas piekļuves tiesības. No minētās kompensācijas var atskaitīt jebkuru ieguldījumu – gan finanšu, gan nefinanšu – vērtības absolūto summu, ko sadarbības partneris devis pētniecības organizācijas darbību izmaksās, kuru rezultātā radās attiecīgās intelektuālā īpašuma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iepriekšējā saskaņošanā izteikto iebildumu- Ministru kabineta noteikumos nevar būt iekļautas tādas materiālās tiesību normas, kas veidotu no pilnvarojošā likuma būtiski atšķirīgas tiesiskās attiecības. Attiecīgi noteikumu projektā nav iekļaujams tāds regulējums, kas nosaka kārtību, kā tiek atsavinātas intelektuālā īpašuma tiesības (pirms nav veikti nepieciešamie grozījumi Zinātniskās darbības likumā, kas ietvertu nosacījumus pētniecības rezultātu, tai skaitā tehnoloģiju,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punktu svītrot. Pēc attiecīgajiem grozījumiem Zinātniskās darbības likumā Izglītības un zinātnes ministrija var noteikums papildināt ar minēto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27.03.2024. 12.58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27.03.2024. 12.58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Atzinumi_23-TA-611.docx</dc:title>
</cp:coreProperties>
</file>

<file path=docProps/custom.xml><?xml version="1.0" encoding="utf-8"?>
<Properties xmlns="http://schemas.openxmlformats.org/officeDocument/2006/custom-properties" xmlns:vt="http://schemas.openxmlformats.org/officeDocument/2006/docPropsVTypes"/>
</file>