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Pasākuma plāna anotācija neparedz informāciju par ministriju atbildību jomām un ņemot vērā, ka Pasākumu plāns paredz jomas, kurās atbildīgās ministrijas ir divas un vairāk, papildināt anotācijas tekstu ar īsu informāciju par atbildīgajām ministrijām un Pasākuma plāna jomām, kuras katra ministrija pārrauga. Iesakām tekstā par Izglītības un zinātnes  ministrijas atbildību iekļaut informāciju, ka aprēķinātais nepieciešamais finansējums profesionālās izglītības programmas īstenošanas izmaksu nodrošināšanai izglītības tematiskajā jomā “Mākslas” tiek plānots arī Kultūras ministrijas u.c. dibinātāju dibinātajām profesionālās vidējās izglītības iestādēm, kurās tiek īstenotas izglītības programmas izglītības tematiskajā jomā “Mākslas”.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5.pielikuma (p5_UKR2025_IZM_100724_TA-1551) 6.3.ailē aprēķinātais nepieciešamais finansējums profesionālās izglītības programmas īstenošanas izmaksu nodrošināšanai - izglītības tematiskajā jomā “Mākslas” tiek plānots arī Kultūras ministrijas u.c. dibinātāju dibinātajām profesionālās vidējās izglītības iestādēm, kurās tiek īstenotas izglītības programmas izglītības tematiskajā jomā “Mākslas”.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14.11.2024.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14.11.2024.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