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jauniekļauto ēku, kurās tiks veiktas investīcijas vides piekļūstamības nodrošināšanai, atbilstību sākotnējam ēku atlases principam, kas ir ticis skaņots ar Eiropas Komisiju, t.i.: "Noteikumu pielikumā noteiktajā sarakstā iekļautas ēkas, kas atbilst šādiem kritērijiem: 1) ēkā sniegtajam labklājības nozares valsts pakalpojumam vai pašvaldības sociālajam pakalpojumam 2020. gadā veikts vides pieejamības pašnovērtējums, kas iesniegts LM; 2) ēkā sniegtā labklājības nozares valsts pakalpojuma vai pašvaldības sociālā pakalpojuma vides pieejamības koeficients ir zemāks par 5,9 (attiecīgi ēkas prioritāri kārto pēc vides pieejamība koeficienta no zemākā līdz augstākam)."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un, ja nepieciešams, noteikumu projektā ietvert grozījumus vai skaidrojumus atbilstoši Eiropas Komisijas 2023.gada 26.janvārī izteiktajiem komentāriem par LM sagatavoto cover note par 112.atskaites punkta "“To valsts un pašvaldību ēku izvēle, kurās jāveic vides pielāgojumi”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attiecināmo finansējumu veido Atveseļošanas fonda finansējums 7 000 000 euro un valsts budžeta finansējums (pievienotās vērtības nodoklis) – indikatīvi 326 340 euro, kā arī pašvaldības, valsts budžeta vai privātais finansējums, ja projekta izmaksas pārsniedz tam pieejamo Atveseļošanas fonda finansējumu un valsts budžeta finansējumu pievienotās vērtības nodokļa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2018.gada 17.jūlija noteikumu Nr.421 “Kārtība, kādā veic gadskārtējā valsts budžeta likumā noteiktās apropriācijas izmaiņas” (turpmāk – MKN Nr.421) 24.punkts neparedz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(turpmāk – budžeta programma 80.00.00) projekta izmaksu segšanai, kuras nav paredzētas  normatīvajos aktos par attiecīgajiem finanšu instrumentiem  un pārsniedz tam pieejamo Atveseļošanas fonda finansējumu un valsts budžeta finansējumu pievienotās vērtības nodokļa segšanai.  Vienlaikus anotācijas 3.sadaļas punktā “Cita informācija” norādīts, ka noteikumu projekta izstrādes brīdī nav indikāciju, lai varētu paredzēt ietekmi uz valsts budžetu. Ņemot vērā minēto, nav atbalstāma tādu normu iestrāde noteikumu projektā, kurai nav noteikts finansējuma apmērs  un anotācijas 3.sadaļā nav sniegta pilna informācija par ietekmi uz valsts budžetu. Līdz ar to, attiecīgi precizējams noteikumu projekts, anotācija un MK sēdes protokollēmuma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attiecināmo finansējumu veido Atveseļošanas fonda finansējums 7 000 000 euro un valsts budžeta finansējums (pievienotās vērtības nodoklis) – indikatīvi 326 340 euro, kā arī pašvaldības, valsts budžeta vai privātais finansējums, ja projekta izmaksas pārsniedz tam pieejamo Atveseļošanas fonda finansējumu un valsts budžeta finansējumu pievienotās vērtības nodokļa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2.punktu (MK 20.09.2022. noteikumu Nr.582 11.punkts), ņemot vērā FM vadlīniju Nr.1 "Vadlīnijas informatīvā ziņojuma vai Ministru kabineta noteikumu izstrādei par Eiropas Savienības Atveseļošanas un noturības mehānisma plāna reformas vai investīcijas ieviešanu" 23.punktā minētajam, ka PVN izmaksas nav attiecināmas finansēšanai no AF finansējuma, bet šādas izmaksas ir iekļaujamas AF projekta ietvaros, iekļaujot minēto nosacījumu, piemēram, šādā redakcijā MK noteikumos vai informatīvajā ziņojumā: “Pievienotās vērtības nodokļa izmaksas nav attiecināmas finansēšanai no Atveseļošanas fonda finansējuma, bet šādas izmaksas ir iekļaujamas Atveseļošanas fonda finansētā projekta ietvaros”. PVN un citas izmaksas, kas būtiski nepieciešamas projekta īstenošanai un bez tām nevar tikt sasniegts projekta tiešais mērķis ir projekta daļa, bet tās netiek sauktas par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būtu nepieciešami tehniski precizējumi MK 20.09.2022. noteikumu Nr.582 12.punktā, ņemot vērā, ka MK noteikumu projekts paredz papildu finansējuma piesaisti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izmaksas, kas radušās šo noteikumu 14. punktā atbalstāmo darbību īstenošanai un pārsniedz līgumā par projekta īstenošanu noteikto projekta attiecināmo Atveseļošanas fonda finansējuma un valsts budžeta finansējuma apmēru pievienotās vērtības nodokļa izmaksu segšanai, bet šādas izmaksas ir iekļaujamas projektā kā attiecināmais pašvaldības finansējums šo noteikumu 13.1. un 13.2. apakšpunktā noteiktajam finansējuma saņēmējam vai attiecināmais valsts budžeta finansējums vai privātais finansējums šo noteikumu 13.3.  apakšpunktā noteiktajam finansējuma saņēmējam vai attiecināmais valsts budžeta finansējums šo noteikumu 13.4. apakšpunktā noteiktajam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4.punktā minētajā 17.3. un 17.4.apakšpunktā vārdu "attiecināmās" izmaksas attiecībā uz valsts budžeta un pašvaldību līdzekļiem. Šīs izmaksas būtu iekļaujamas projektā kā citas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4.punktu ar nosacījumu, ka attiecībā uz izmaksām, kas pārsniedz Atveseļošanas fonda finansējumu un PVN izmaksas uz AF projekta īstenošanu pēc būtības ir attiecināmas tikai tādas citas projekta izmaksas, kas nepieciešamas konkrētā sasniedzamā rezultāta nodrošināšanai (par ko pārliecinās atbalsta sniedzējs vai vienošanās/ līgumslēdzējs par projekta īstenošanu) atbilstoši FM vadlīniju Nr.1 </w:t>
            </w:r>
            <w:r w:rsidR="00000000" w:rsidRPr="00000000" w:rsidDel="00000000">
              <w:rPr>
                <w:rtl w:val="0"/>
              </w:rPr>
              <w:t xml:space="preserve">"Vadlīnijas informatīvā ziņojuma vai Ministru kabineta noteikumu izstrādei par Eiropas Savienības Atveseļošanas un noturības mehānisma plāna reformas vai investīcijas ieviešanu"</w:t>
            </w:r>
            <w:r w:rsidR="00000000" w:rsidRPr="00000000" w:rsidDel="00000000">
              <w:rPr>
                <w:rtl w:val="0"/>
              </w:rPr>
              <w:t xml:space="preserve"> 63.punktā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visām izmaksām jābūt saistītām ar investīcijas/projekta tiešo mērķu un mērķrādītāju sasniegšanu un kas tieši nepieciešamas un bez kurām nav iespējams sasniegt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avansa maksājumu pieprasa un veic šādā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6.punktu, ņemot vērā, ka plānotie precizējumi attiecībā uz avansa izmaksas un izlietošanas kārtību, ir pretrunā ar spēkā esošo FM vadlīniju Nr.1 "Vadlīnijas informatīvā ziņojuma vai Ministru kabineta noteikumu izstrādei par Eiropas Savienības Atveseļošanas un noturības mehānisma plāna reformas vai investīcijas ieviešanu" 70., 71., 72.punktu, kas nosaka, ka nākamo avansu var saņemt pēc tam, kad iepriekšējais ir apgūts pilnā apmērā, kā arīto nepieciešams apgūt 6 mēnešu laikā saimnieciskā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2.4.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25.18. apakšpunktā noteikts, ka vismaz 5 gadus no noslēguma maksājuma veikšanas nedrīkst tikt mainīts pielāgojumu izmantošanas mērķis, lūdzam izvērtēt vai MKN 2.4.2. un 2.4.3. apakšpunkts nebūtu jāpapildina ar nosacījumu par apakšpunktos minēto līgumu darbības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Žukelis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20.4.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5.punktā, kurā ietverts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2.4.1.punkts, vārdus "pēc šo noteikumu grozījumu spēkā stāšanās nosūta". Vēršam uzmanību, ka attiecīgie grozījumi tiks iestrādāti minēto noteikumu konsolidētāja redakcijā, līdz ar to nevarēs skaidri identificēt termiņu, no kur ir jānosūta uzaicinājums. Attiecīgu precizējumu lūdzam veikt arī tālāk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23.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AF investīcijām ir vienota pieeja izskatīšanas termiņu ilgumiem, kas ir noteikta CFLA iekšējā kontroles sistēmā, lūdzam izvērtēt iespēju MKN 23.1.2. un 23.2.2. apakšpunktos noteiktos termiņus nenorādīt vispār vai norādīt avansa maksājumam 15 darba dienas un starpposma maksājumam (progresa pārskatam) 45 darba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Žukelis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pielikumu jaunā redakcijā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1.pielikumā norādītās ēkas Nr.49 un Nr.53 atrodas uz vienas zemes vienības, kuras kadastra numurs, saskaņā ar Zemesgrāmatas nodalījumu ir 01005860034. Ēkai Nr. 49 MKN 1. pielikumā ir norādīts cits kadastra numurs. Lūdzu nepieciešamības gadījumā precizēt 1.pielikuma ierakstu Nr.49.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Žukelis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01.01.2023. ir spēkā jaunais Pašvaldību likums, lūdzam precizēt sadaļas “Risinājuma apraksts” 5.punktā minēto, kur norādīta atsauce uz spēku zaudējušo likumu “Par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visu projektu iesniedzēju informēšana par grozījumiem, pēc to apstiprināšanas MK un grozījumu ietekmi uz projektiem, kā arī nepieciešamību veikt atbilstošus grozījumus jau īstenošanā esošajos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7.sadaļu ar informāciju par Centrālo finanšu un līgumu aģentūru (turpmāk - CFLA), ņemot vērā norādīto, ka CFLA 10 darbdienu laikā pēc grozījumu spēkā stāšanās paziņo finansējuma saņēmējam par nepieciešamību iesniegt grozījumus līgumā un finansējuma saņēmējs 20 darbdienu vai citā ar aģentūru saskaņotā laikā no informācijas saņemšana iesniedz grozījumus, kurus CFLA izvērtē un pieņem lēmumu atbilstoši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CFLA pieprasīt  valsts budžeta finansējumu valsts akciju sabiedrības “Valsts nekustamie īpašumi” un valsts sabiedrības ar ierobežotu atbildību “Šampētera nams” īstenoto projektu Atveseļošanas fonda un valsts budžeta finansēto izmaksu segšanai saskaņā ar Ministru kabineta 2018. gada 17. jūlija noteikumu Nr. 421 “Kārtība, kādā veic gadskārtējā valsts budžeta likumā noteiktās apropriācijas izmaiņas” 24.1. apakšpunktā un 24.7. apakšpunktā noteikto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protokollēmuma projekta 3.punktā vārdus "Atveseļošanas fonda" ar vārdiem "Atveseļošanas un noturības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CFLA pieprasīt  valsts budžeta finansējumu valsts akciju sabiedrības “Valsts nekustamie īpašumi” un valsts sabiedrības ar ierobežotu atbildību “Šampētera nams” īstenoto projektu Atveseļošanas fonda un valsts budžeta finansēto izmaksu segšanai saskaņā ar Ministru kabineta 2018. gada 17. jūlija noteikumu Nr. 421 “Kārtība, kādā veic gadskārtējā valsts budžeta likumā noteiktās apropriācijas izmaiņas” 24.1. apakšpunktā un 24.7. apakšpunktā noteikto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protokollēmuma projekta 3.punktā vārdu "CFLA" ar vārdiem "Centrālajai finanšu un līgumu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1.punktu (MK 20.09.2022. noteikumu Nr.582 2.4.apakšpunkts) </w:t>
            </w:r>
            <w:r w:rsidR="00000000" w:rsidRPr="00000000" w:rsidDel="00000000">
              <w:rPr>
                <w:rtl w:val="0"/>
              </w:rPr>
              <w:t xml:space="preserve">ar nosacījumu, kas visām īpašumtiesībām (īpašumā, ilgtermiņa nomā, bezatlīdzības lietošanā, valdījumā) uz konkrēto infrastruktūras objektu, kur tiks veikti ieguldījumi jābūt nostiprinātām Valsts vienotajā datorizētajā zemesgrāmatā, apbūves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attiecināmo finansējumu veido Atveseļošanas fonda finansējums 7 000 000 euro un valsts budžeta finansējums (pievienotās vērtības nodoklis) – indikatīvi 326 340 euro, kā arī pašvaldības, valsts budžeta vai privātais finansējums, ja projekta izmaksas pārsniedz tam pieejamo Atveseļošanas fonda finansējumu un valsts budžeta finansējumu pievienotās vērtības nodokļa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iespēju izteikt 11.punktu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attiecināmo finansējumu veido Atveseļošanas fonda finansējums 7 000 000 euro un valsts budžeta finansējums (pievienotās vērtības nodoklis) – indikatīvi 326 340 euro, kā arī </w:t>
            </w:r>
            <w:r w:rsidR="00000000" w:rsidRPr="00000000" w:rsidDel="00000000">
              <w:rPr>
                <w:b w:val="1"/>
                <w:rtl w:val="0"/>
              </w:rPr>
              <w:t xml:space="preserve">cits finansējums</w:t>
            </w:r>
            <w:r w:rsidR="00000000" w:rsidRPr="00000000" w:rsidDel="00000000">
              <w:rPr>
                <w:rtl w:val="0"/>
              </w:rPr>
              <w:t xml:space="preserve"> (pašvaldības, valsts budžeta vai privātais finansējums), ja projekta izmaksas pārsniedz tam pieejamo Atveseļošanas fonda finansējumu un valsts budžeta finansējumu pievienotās vērtības nodokļa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03.02.2023.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03.02.2023.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