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3. maija noteikumos Nr. 272 "Noteikumi par kompensāciju par vakcīnas pret Covid-19 infekciju blakusparādību izraisīto smagu vai vidēji smagu kaitējumu pacienta veselībai vai dzīvībai"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anotācijas 1.3.sadaļas “Pašreizējā situācija, problēmas un risinājumi” punktā “Problēmas apraksts” un “Risinājuma apraksts” (2.lpp.) norādīto Covid-19 infekcijas izplatības pārvaldības likuma pantu, skaitļa “49.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” vietā lietojot skaitli “49.</w:t>
            </w:r>
            <w:r w:rsidR="00000000" w:rsidRPr="00000000" w:rsidDel="00000000">
              <w:rPr>
                <w:vertAlign w:val="superscript"/>
                <w:rtl w:val="0"/>
              </w:rPr>
              <w:t xml:space="preserve">7</w:t>
            </w:r>
            <w:r w:rsidR="00000000" w:rsidRPr="00000000" w:rsidDel="00000000">
              <w:rPr>
                <w:rtl w:val="0"/>
              </w:rPr>
              <w:t xml:space="preserve">”. Vienlaikus nepieciešams precizēt punktā “Risinājuma apraksts” sniegto informāciju, papildinot to ar Ministru kabineta 3.05.2022. noteikumu Nr.272 “Noteikumi par kompensāciju par vakcīnas pret Covid-19 infekciju blakusparādību izraisīto smagu vai vidēji smagu kaitējumu pacienta veselībai vai dzīvībai” 1.3.apakšpunktu un 3.punktu atbilstoši noteikumu projektā norādītajam.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23-TA-379</w:t>
    </w:r>
    <w:r>
      <w:br/>
    </w:r>
    <w:r w:rsidR="00000000" w:rsidRPr="00000000" w:rsidDel="00000000">
      <w:rPr>
        <w:rtl w:val="0"/>
      </w:rPr>
      <w:t xml:space="preserve">Izdrukāts 05.06.2023.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23-TA-379</w:t>
    </w:r>
    <w:r>
      <w:br/>
    </w:r>
    <w:r w:rsidR="00000000" w:rsidRPr="00000000" w:rsidDel="00000000">
      <w:rPr>
        <w:rtl w:val="0"/>
      </w:rPr>
      <w:t xml:space="preserve">Izdrukāts 05.06.2023.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