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atļaujām jaunas elektroenerģijas ražošanas iekārtas ieviešanai vai elektroenerģijas ražošanas jaudas palielināšanai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Būvniecības valsts kontroles biroja (turpmāk – birojs) atļaujas saņemšanai jaunas elektroenerģijas ražošanas iekārtas ieviešanai vai ražošanas jaudas palielināšanai, tajā skaitā, ekspluatācijā esošas elektroenerģijas ražošanas iekārtas atjaunošanai, ja elektroenerģijas ražošanas iekārtu ar jaudu, kas ir vienāda vai pārsniedz 500 kilovatus, paredzēts pievienot pārvades sistēmai vai sadales sistēmai (turpmāk - atļauja), kā arī atļaujas izsniegšanas, pārreģistrēšanas, atcelšanas un derīguma termiņa pagarināšanas kārtību, valsts kontā iemaksājamās drošības naudas apmēru, tās samaksas un atmaksas kārtību, un kritērijus atļaujas izsniegšanas atteikšanai.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precizētais Ministru kabineta noteikumu projekts “Noteikumi par atļaujām jaunu elektroenerģijas ražošanas iekārtu ieviešanai vai elektroenerģijas ražošanas jaudas palielināšanai” (turpmāk – projekts) un par to izsakām šādus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punktu nepieciešams izteikt precīzi atbilstoši Elektroenerģijas tirgus likuma (turpmāk – likums) 22. panta otrajā daļā noteiktajam pilnvarojumam, ņemot vērā likuma 22. panta pirmajā daļā noteikto regulējumu, atbilstoši likuma pārejas noteikumu 105. punktam, kas paredz šīs normas spēkā stāšanos no 2024. gada 1. janvāra. Tieslietu ministrija piedāvā likuma pilnvarojumu projekta 1. punktā izteikt šādi.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prasības Būvniecības valsts kontroles biroja (turpmāk – birojs) atļaujas saņemšanai ražošanas jaudu palielināšanai, atjaunošanai un jaunas elektroenerģijas ražošanas iekārtas ieviešanai, ja elektroenerģijas ražošanas iekārtu ar jaudu, kas ir vienāda vai pārsniedz 500 kilovatus paredzēts pievienot pārvades sistēmai vai sadales sistēmai (turpmāk – atļauja), kā arī atļaujas izsniegšanas, pārreģistrēšanas, atcelšanas un derīguma termiņa pagarināšanas kārtību, valsts kontā iemaksājamās drošības naudas apmēru, tās samaksas un atmaksas kārtību un kritērijus atļaujas izsniegšanas atteikšanai.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Iesniedzējs aizpilda iesniegumu atļaujas saņemšanai jaunas elektroenerģijas ražošanas iekārtas ieviešanai vai ražošanas jaudas palielināšanai, tajā skaitā, veicot ekspluatācijā esošas elektroenerģijas ražošanas iekārtas atjaunošanu (turpmāk – iesniegums atļaujas saņemšanai)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iesniedz to birojā pēc drošības naudas iemaksas Valsts kases biroja kontā atbilstoši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minētajam maksājuma apmēram. Iesniegumam atļaujas saņemšanai pievieno: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punktu nepieciešams precizēt atbilstoši projekta 1. punktā esošajam saīsinājumam “atļauja”, proti, projekta 2. punktā nav jāpārraksta atļaujas izsniegšanas nosacījumi. Turklāt projektā nav lietderīgi veidot saīsinājumu “iesniegums atļaujas saņemšanai”, jo šāds iesniegumu identificējošs apzīmējums būtu jāveido, ja projektā būtu regulējums par dažāda veida būtiskiem iesniegumiem. Ņemot vērā, ka projektā nav daudzi un dažādi iesniegumi, regulējums tajā būs pārskatāmāks, ja tiks izmantots vārds “iesniegums”, bet citu iesniegumu apzīmēšanai izmantot tos identificējošas pazīmes. Tādējādi piedāvājam precizēt visu projekta tekstu un vārdus “iesniegums atļaujas saņemšanai” aizstāt ar vārdu “iesniegums”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Iesniedzējs atļaujas saņemšanai aizpilda iesniegumu (1. pielikums) un iesniedz to birojā. Iesniegumam pievieno:”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plānots ieviest jaunu elektroenerģijas ražošanas iekārtu vai palielināt esošo elektroenerģijas ražošanas jaudu Latvijas Republikas teritoriālajā jūrā vai Latvijas Republikas ekskluzīvajā ekonomiskajā zonā, iesniegumā norāda tā tiesību akta nosaukumu, numuru un datumu, ar kuru elektroenerģijas ražotājam ir piešķirtas tiesības attiecīgajam mērķim izmantot Latvijas Republikas teritoriālo jūru vai Latvijas Republikas ekskluzīvo ekonomisko zonu saskaņā ar </w:t>
            </w:r>
            <w:r w:rsidR="00000000" w:rsidRPr="00000000" w:rsidDel="00000000">
              <w:rPr>
                <w:rtl w:val="0"/>
              </w:rPr>
              <w:t xml:space="preserve">Jūras vides aizsardzības un pārvaldības likuma</w:t>
            </w:r>
            <w:r w:rsidR="00000000" w:rsidRPr="00000000" w:rsidDel="00000000">
              <w:rPr>
                <w:rtl w:val="0"/>
              </w:rPr>
              <w:t xml:space="preserve"> 19.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punktu nepieciešams precizēt atbilstoši projekta 1. punktā esošajam saīsinājumam “atļauja”, proti, regulējums jāveido par nosacījumiem atļaujas saņemšanai, nevis iekārtu uzstādīšanu, piemēram, “Ja plānots saņemt atļauju darbam Latvijas Republikas teritoriālajā jūrā vai Latvijas Republikas ekskluzīvajā ekonomiskajā zonā,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Birojs izskata iesniegtos dokumentus, pārbauda to atbilstību šo noteikumu prasībām un pieņem lēmumu par atļaujas izsniegšanu vai atteikumu izsniegt atļauju. Par izsniegto atļauju birojs informē to sistēmas operatoru, kura sistēmai elektroenerģijas ražošanas iekārtu plānots pieslēgt.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punktā, kā arī 14., 20. un 21. punktā paredzēto biroja pienākumu informēt sistēmas operatoru par administratīvā procesa ietvaros pieņemto lēmumu nepieciešams redakcionāli precizēt. Vēršam uzmanību, ka administratīvā akta izdošana un citu personu informēšana par to ir divi dažādi uzvedības noteikumi, kas ir jānodala atsevišķos punktos vai vismaz ar atsevišķiem teikumiem. Projektā regulējums jāveido tādējādi, lai iestādes rīcība lēmuma paziņošanā (noteikta ar Paziņošanas likumu) un citu personu informēšanā būtu izteikta nepārprotami.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iesniegtajos dokumentos norādītā informācija ir nepietiekama, nepareiza vai neprecīza, birojs informē iesniedzēju par konstatētajām nepilnībām un nosaka termiņu trūkumu novēršanai.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punktu nepieciešams svītrot, jo šāda norma dublē Administratīvā procesa likuma 56.panta 1.</w:t>
            </w:r>
            <w:r w:rsidR="00000000" w:rsidRPr="00000000" w:rsidDel="00000000">
              <w:rPr>
                <w:vertAlign w:val="superscript"/>
                <w:rtl w:val="0"/>
              </w:rPr>
              <w:t xml:space="preserve">1</w:t>
            </w:r>
            <w:r w:rsidR="00000000" w:rsidRPr="00000000" w:rsidDel="00000000">
              <w:rPr>
                <w:rtl w:val="0"/>
              </w:rPr>
              <w:t xml:space="preserve"> daļu. Ministru kabineta noteikumos nevar dublēt vai atšķirīgi izteikt likumā noteiktu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Atļaujas turētājs var lūgt izdarīt grozījumus atļaujā attiecībā uz nekustamo īpašumu, uz kuriem ir plānota elektroenerģijas ražošanas iekārtas ieviešana, sastāvu, ja tas neietekmē tehniskās prasības attiecībā uz elektroenerģijas ražošanas iekārtas pieslēguma izbūvi. Grozījumi var tikt izdarīti vienu reizi.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punkta otro teikumu par grozījumu izdarīšanas ierobežojumu nepieciešams svītrot. Vēršam uzmanību, ka demokrātiskā un tiesiskā valstī šāda veida formāls valsts pārvaldes principiem un administratīvā procesa principiem neatbilstošs personas tiesību ierobežojums nav pieļaujams. Turklāt šāda veida iesniegums ir jāskata saskaņā ar Administratīvā procesa likumu un ierobežojumus tam nevar noteikt ar Ministru kabineta noteikumiem. Papildus norādām, ka arī grozījumu izdarīšanai būtu nepieciešama nekustamā īpašuma īpašnieka vai turētāja piekrišana, ja atļaujas turētājs tāds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Atļaujas turētājs desmit mēnešu laikā pēc šo noteikumu </w:t>
            </w:r>
            <w:r w:rsidR="00000000" w:rsidRPr="00000000" w:rsidDel="00000000">
              <w:rPr>
                <w:rtl w:val="0"/>
              </w:rPr>
              <w:t xml:space="preserve">8.</w:t>
            </w:r>
            <w:r w:rsidR="00000000" w:rsidRPr="00000000" w:rsidDel="00000000">
              <w:rPr>
                <w:rtl w:val="0"/>
              </w:rPr>
              <w:t xml:space="preserve"> punktā minētā lēmuma spēkā stāšanās dienas uzsāk lēmumā norādītās elektroenerģijas ražošanas iekārtas ieviešanu vai esošās elektroenerģijas ražošanas jaudas palielināšanu, ko apliecina ar sistēmas operatoru noslēgta rakstiska vienošanās par pieslēguma procesa īstenošanas nosacījumiem (turpmāk - pieslēguma procesa īstenošanas vienošanās), kuru atļaujas turētājs iesniedz birojā kopā ar apliecinājumu (</w:t>
            </w:r>
            <w:r w:rsidR="00000000" w:rsidRPr="00000000" w:rsidDel="00000000">
              <w:rPr>
                <w:rtl w:val="0"/>
              </w:rPr>
              <w:t xml:space="preserve">4. </w:t>
            </w:r>
            <w:r w:rsidR="00000000" w:rsidRPr="00000000" w:rsidDel="00000000">
              <w:rPr>
                <w:rtl w:val="0"/>
              </w:rPr>
              <w:t xml:space="preserve">pielikums</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punktā un turpmāk projektā nepieciešams izvērtēt vārda “apliecinājums” izmantošanu. Vēršam uzmanību, ka šobrīd projekta 12. un 15. punktu var interpretēt tādējādi, ka tie ir dažādi apliecinājumi. Vienlaikus normatīvajā aktā nav pieļaujams vienu apzīmējumu izmantot dažādu procesu skaidrojumam. Ievērojot minēto, piedāvājam redakcionāli precizēt un savstarpēji saskaņot projekta 12. un 15. punktu, kā arī turpmākās projekta normas, kurās ir minēts apliecinājums, lai šīs normas būtu nepārprotamas.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Ja elektroenerģijas ražošanas jauda ieviesta vai palielināta mazākā apjomā, nekā norādīts biroja izsniegtajā atļaujā, elektroenerģijas ražošanas jaudas turpmākai palielināšanai jāsaņem jauna biroja atļauja.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punktu par “jauna biroja atļaujas” saņemšanas nepieciešamību nepieciešams precizēt, proti, regulējumu nepieciešams izvērst, lai precīzi būtu saprotams tajā paredzētais personas tiesību ierobežojums. Vēlamies norādīt, ka administratīvo aktu nevar atcelt formālu apsvērumu dēļ. Administratīvā procesa likuma 70. panta trešā daļa paredz, ka administratīvais akts ir spēkā tik ilgi, līdz to atceļ, izpilda vai vairs nevar izpildīt sakarā ar faktisko vai tiesisko apstākļu maiņu. Ievērojot minēto, projektā nepieciešams veidot korektu regulējumu par daļēji izpildīta administratīvā akta tiesisko raksturu, tai skaitā par atļaujas pagarinājuma attiecināšanu uz šādu daļēji izpildītu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Atļaujas turētājs var iesniegt iesniegumu atļaujas saņemšanai elektroenerģijas ražošanas jaudas palielināšanai, ja ir iesniedzis šo noteikumu </w:t>
            </w:r>
            <w:r w:rsidR="00000000" w:rsidRPr="00000000" w:rsidDel="00000000">
              <w:rPr>
                <w:rtl w:val="0"/>
              </w:rPr>
              <w:t xml:space="preserve">15.</w:t>
            </w:r>
            <w:r w:rsidR="00000000" w:rsidRPr="00000000" w:rsidDel="00000000">
              <w:rPr>
                <w:rtl w:val="0"/>
              </w:rPr>
              <w:t xml:space="preserve"> punktā minēto apliecinājumu.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punktā esošā regulējuma mērķis nav saprotams. Ja tas ir saistīts ar projekta 16. punktā paredzēto rīcību, piedāvājam šīs normas apvienot un izteikt vienā punktā. Turklāt teikumu nepieciešams izteikt atbilstoši normas mērķim, kas ir atļaujas saņemšana, nevis iesnieguma iesniegšana, proti, vārdus “var iesniegt iesniegumu atļaujas saņemšanai” nepieciešams aizstāt ar vārdiem “var saņemt atļauju”. Vienlaikus Tieslietu ministrija vēlas norādīt, ka šāda jaunas atļaujas saņemšanas nepieciešamība iepriekš neizpildīto atļaujas nosacījumu dēļ ir formāla prasība, kas palielina administratīvo slogu privātpersonai. Piedāvājam izvērtēt iespēju projektā paredzēt personas tiesības noteiktu elektroenerģijas ražošanas apjomu ieviest vairākās kārtās arī ilgākā laika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Ja atļaujas turētājs attiecīgajos termiņos nav izpildījis šo noteikumu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vai </w:t>
            </w:r>
            <w:r w:rsidR="00000000" w:rsidRPr="00000000" w:rsidDel="00000000">
              <w:rPr>
                <w:rtl w:val="0"/>
              </w:rPr>
              <w:t xml:space="preserve">15.</w:t>
            </w:r>
            <w:r w:rsidR="00000000" w:rsidRPr="00000000" w:rsidDel="00000000">
              <w:rPr>
                <w:rtl w:val="0"/>
              </w:rPr>
              <w:t xml:space="preserve"> punktā minēto pienākumu, birojs drošības naudu neatmaksā un ieskaita valsts 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18. punktā paredzētos drošības naudas neatmaksāšanas gadījumus, kas ir privātpersonai nelabvēlīgs regulējums, nepieciešams izteikt precīzi, proti, iekšējās atsauces uz citiem projekta punktiem nepieciešams aizstāt ar korekti un viennozīmīgi definētām vārdiskām formām. Turklāt piedāvājam tās izteikt ar apakšpunktiem, lai negatīvā lēmumā varētu veidot korektas norādes.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Atļaujas turētājam ir tiesības lūgt pārreģistrēt atļauju uz citu personu, ja starp atļaujas turētāju un sistēmas operatoru ir noslēgta </w:t>
            </w:r>
            <w:r w:rsidR="00000000" w:rsidRPr="00000000" w:rsidDel="00000000">
              <w:rPr>
                <w:rtl w:val="0"/>
              </w:rPr>
              <w:t xml:space="preserve">12.</w:t>
            </w:r>
            <w:r w:rsidR="00000000" w:rsidRPr="00000000" w:rsidDel="00000000">
              <w:rPr>
                <w:rtl w:val="0"/>
              </w:rPr>
              <w:t xml:space="preserve">punktā minētā pieslēguma procesa īstenošanas vienošanās, Birojs pieņem lēmumu par atļaujas pārreģistrēšanu, nemainot pārreģistrējamās atļaujas nosacījumus, un informē par to sistēmas operatoru, kura sistēmai elektroenerģijas ražošanas iekārtu plānots pieslēgt, ja uz personu, uz kuru iecerēts pārreģistrēt atļauju, nav attiecināmi šo noteikumu </w:t>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10.4.</w:t>
            </w:r>
            <w:r w:rsidR="00000000" w:rsidRPr="00000000" w:rsidDel="00000000">
              <w:rPr>
                <w:rtl w:val="0"/>
              </w:rPr>
              <w:t xml:space="preserve"> un </w:t>
            </w:r>
            <w:r w:rsidR="00000000" w:rsidRPr="00000000" w:rsidDel="00000000">
              <w:rPr>
                <w:rtl w:val="0"/>
              </w:rPr>
              <w:t xml:space="preserve">10.7.</w:t>
            </w:r>
            <w:r w:rsidR="00000000" w:rsidRPr="00000000" w:rsidDel="00000000">
              <w:rPr>
                <w:rtl w:val="0"/>
              </w:rPr>
              <w:t xml:space="preserve"> apakšpunktā minētie kritēriji. Atļauja var tikt pārreģistrēta vienu reizi.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 punktu par atļaujas pārreģistrāciju nepieciešams precizēt, ka personai, uz kuru iecerēts pārreģistrēt atļauju, ir saistošas visas projekta noteikumu normas, piemēram, visas prasības, kas paredzētas projekta 2. punkta apakšpunktos vai projekta 10. punktā. Vēršam uzmanību, ka ar šo projektu nevar paredzēt civiltiesisku vienošanos saistošu raksturu trešajām personām, tāpat arī nevar paredzēt darbības, ko varētu interpretēt kā atšķirīgu attieksmi. Tāpat arī projektā nepieciešams precīzs regulējums par drošības naudu, vai tā paliek personai, uz kuru iecerēts pārreģistrēt atļauju, vai tā tiek atmaksāta atļaujas turētājam (šobrīd to daļēji nosaka projekta 22. punkts) un persona to iemaksā atkārtoti. Vienlaikus šajā punktā nav pieļaujams nosacījums, ka atļauja var tikt pārreģistrēta vienu reizi, un šo teikumu nepieciešams svītrot. Demokrātiskā un tiesiskā valstī šāda veida formāls valsts pārvaldes principiem un administratīvā procesa principiem neatbilstošs personas tiesību ierobežojums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Atļaujas pārreģistrēšanai atļaujas turētājs un persona, uz kuru iecerēts veikt pārreģistrēšanu, birojam iesniedz divpusēji parakstītu iesniegumu par atļaujas pārreģistrēšanu (</w:t>
            </w:r>
            <w:r w:rsidR="00000000" w:rsidRPr="00000000" w:rsidDel="00000000">
              <w:rPr>
                <w:rtl w:val="0"/>
              </w:rPr>
              <w:t xml:space="preserve">6. </w:t>
            </w:r>
            <w:r w:rsidR="00000000" w:rsidRPr="00000000" w:rsidDel="00000000">
              <w:rPr>
                <w:rtl w:val="0"/>
              </w:rPr>
              <w:t xml:space="preserve">pielikums</w:t>
            </w:r>
            <w:r w:rsidR="00000000" w:rsidRPr="00000000" w:rsidDel="00000000">
              <w:rPr>
                <w:rtl w:val="0"/>
              </w:rPr>
              <w:t xml:space="preserve">), kā arī šo noteikumu </w:t>
            </w:r>
            <w:r w:rsidR="00000000" w:rsidRPr="00000000" w:rsidDel="00000000">
              <w:rPr>
                <w:rtl w:val="0"/>
              </w:rPr>
              <w:t xml:space="preserve">2.4.</w:t>
            </w:r>
            <w:r w:rsidR="00000000" w:rsidRPr="00000000" w:rsidDel="00000000">
              <w:rPr>
                <w:rtl w:val="0"/>
              </w:rPr>
              <w:t xml:space="preserve"> apakšpunktā minētā dokumenta kopiju. Gadījumā, ja atļaujas turētājs lūdz vienlaikus atmaksāt drošības naudu, iesniegumam par lēmuma pārreģistrēšanu pievieno  šo noteikumu </w:t>
            </w:r>
            <w:r w:rsidR="00000000" w:rsidRPr="00000000" w:rsidDel="00000000">
              <w:rPr>
                <w:rtl w:val="0"/>
              </w:rPr>
              <w:t xml:space="preserve">2.3.</w:t>
            </w:r>
            <w:r w:rsidR="00000000" w:rsidRPr="00000000" w:rsidDel="00000000">
              <w:rPr>
                <w:rtl w:val="0"/>
              </w:rPr>
              <w:t xml:space="preserve"> apakšpunktā minētā dokumenta kopiju. Atļauja var tikt pārreģistrēta vienu reizi.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 punktu nepieciešams precizēt un svītrot trešo teikumu, jo demokrātiskā un tiesiskā valstī šāda veida formāls valsts pārvaldes principiem un administratīvā procesa principiem neatbilstošs personas tiesību ierobežojums, ka atļauja var tikt pārreģistrēta vienu reizi,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21.</w:t>
            </w:r>
            <w:r w:rsidR="00000000" w:rsidRPr="00000000" w:rsidDel="00000000">
              <w:rPr>
                <w:rtl w:val="0"/>
              </w:rPr>
              <w:t xml:space="preserve"> punkts piemērojams arī visām tām atļaujām jaunas ražošanas iekārtas ieviešanai vai elektroenerģijas ražošanas jaudas palielināšanai, kas izsniegtas pirms šo noteikumu stāšanās spēkā un nav vēl atceltas vai zaudējušas spēku.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 punktu nepieciešams precizēt atbilstoši pārejas regulējumā iekļaujamajam tiesiskās paļāvības principam, proti, visas līdz projektā paredzēto noteikumu spēkā stāšanās brīdim izsniegtās atļaujas ir derīgas līdz to termiņa beigām un uz tām ir attiecināms viss projektā paredzētais personai labvēlīgais regulējums, nevis tikai atsevišķi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2.</w:t>
            </w:r>
            <w:r w:rsidR="00000000" w:rsidRPr="00000000" w:rsidDel="00000000">
              <w:rPr>
                <w:rtl w:val="0"/>
              </w:rPr>
              <w:t xml:space="preserve"> punktā noteiktās prasības atļaujas saņemšanai ekspluatācijā esošas elektroenerģijas ražošanas iekārtas atjaunošanai piemērojamas no 2024. gada 1. janvāra.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24. un 25. punktu nepieciešams svītrot un vienlaikus projekta pēdējā punktā paredzēt, ka noteikumi stājas spēkā 2024. gada 1. janvārī. Vēršam uzmanību, ka Ministru kabineta noteikumos esošs regulējums nevar stāties spēkā ātrāk kā likuma regulējums, uz kura pilnvarojuma pamata noteikumi tiks izdoti.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Drošības naudas apmērs jaunas elektroenerģijas ražošanas iekārtas ieviešanai vai elektroenerģijas ražošanas jaudas palielināšanai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pielikumu nepieciešams svītrot, jo tas neatbilst pielikumu veidošanas juridiskās tehnikas prasībām. Drošības naudas apmēru piedāvājam noteikt vienkārša teksta veidā kā atsevišķu projekta punktu. Nepieciešamības gadījumā to var veidot ar apakšpunktiem. Vienlaikus nepieciešams precizēt pielikumu numerāciju un iekšējās atsauces, kurās šobrīd ir minēti projekta pielikumi.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21.08.2023. 15.47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22-TA-2553</w:t>
    </w:r>
    <w:r>
      <w:br/>
    </w:r>
    <w:r w:rsidR="00000000" w:rsidRPr="00000000" w:rsidDel="00000000">
      <w:rPr>
        <w:rtl w:val="0"/>
      </w:rPr>
      <w:t xml:space="preserve">Izdrukāts 21.08.2023. 15.47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Atzinumi_22-TA-2553.docx</dc:title>
</cp:coreProperties>
</file>

<file path=docProps/custom.xml><?xml version="1.0" encoding="utf-8"?>
<Properties xmlns="http://schemas.openxmlformats.org/officeDocument/2006/custom-properties" xmlns:vt="http://schemas.openxmlformats.org/officeDocument/2006/docPropsVTypes"/>
</file>