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sadaļu papildināt ar informāciju par pasākuma ietekmi uz horizontālo principu "Vienlīdzība, iekļaušana, nediskriminācija un pamattiesību ievērošana" (netieša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pasākuma ietekmi uz personu ar invaliditāti vienlīdzīgām iespējām un tiesībām aprakstu atbilstoši Labklājības ministrijas un Tieslietu ministrijas vadlīnijām, norādot specifiskās un 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19.07.2023.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19.07.2023.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Atzinumi_23-TA-1018.docx</dc:title>
</cp:coreProperties>
</file>

<file path=docProps/custom.xml><?xml version="1.0" encoding="utf-8"?>
<Properties xmlns="http://schemas.openxmlformats.org/officeDocument/2006/custom-properties" xmlns:vt="http://schemas.openxmlformats.org/officeDocument/2006/docPropsVTypes"/>
</file>