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21.5.2. organizē mācības šo noteikumu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minētajai mērķa grupai un šo noteikumu </w:t>
            </w:r>
            <w:r w:rsidR="00000000" w:rsidRPr="00000000" w:rsidDel="00000000">
              <w:rPr>
                <w:rtl w:val="0"/>
              </w:rPr>
              <w:t xml:space="preserve">21.5.1. </w:t>
            </w:r>
            <w:r w:rsidR="00000000" w:rsidRPr="00000000" w:rsidDel="00000000">
              <w:rPr>
                <w:rtl w:val="0"/>
              </w:rPr>
              <w:t xml:space="preserve">apakšpunktā</w:t>
            </w:r>
            <w:r w:rsidR="00000000" w:rsidRPr="00000000" w:rsidDel="00000000">
              <w:rPr>
                <w:rtl w:val="0"/>
              </w:rPr>
              <w:t xml:space="preserve"> noteiktajā kārtībā piesaistītajiem sociālo pakalpojumu sniedzējiem atbilstoši šo noteikumu </w:t>
            </w:r>
            <w:r w:rsidR="00000000" w:rsidRPr="00000000" w:rsidDel="00000000">
              <w:rPr>
                <w:rtl w:val="0"/>
              </w:rPr>
              <w:t xml:space="preserve">21.4. </w:t>
            </w:r>
            <w:r w:rsidR="00000000" w:rsidRPr="00000000" w:rsidDel="00000000">
              <w:rPr>
                <w:rtl w:val="0"/>
              </w:rPr>
              <w:t xml:space="preserve">apakšpunktā</w:t>
            </w:r>
            <w:r w:rsidR="00000000" w:rsidRPr="00000000" w:rsidDel="00000000">
              <w:rPr>
                <w:rtl w:val="0"/>
              </w:rPr>
              <w:t xml:space="preserve"> minētajam mācību saturam un veic faktisko mācību dalībnieku uzskaiti, ietverot tajā mācību dalībnieka vārdu, uzvārdu, personas kodu, darba vietas e–pasta adresi un citu personas datus nesaturošu informāciju, kas nepieciešama maksājuma pieprasījumu un dalībnieku pārskata sagatavošanai;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noteikumu projekta 21.5.2. un 22.3.2. apakšpunkts papildināts ar apstrādājamo datu apjomu, savukārt anotācijas 8.1.13. apakšpunktā norādīts, ka pienākums sagatavot maksājumu pieprasījumus noteikts Ministru kabineta 2023. gada 21. marta noteikumos Nr. 135 “Eiropas Savienības fondu projektu pārbaužu veikšanas kārtība 2021.–2027. gada plānošanas periodā”, proti, šo noteikumu 54. punktā, kas paredz arī apstrādājamo datu apjomu, izsakām priekšlikumu nedublēt minētās tiesību normas 21.5.2. un 22.3.2. apakšpunktā.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10.04.2024. 12.15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10.04.2024. 12.15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Atzinumi_22-TA-2072.docx</dc:title>
</cp:coreProperties>
</file>

<file path=docProps/custom.xml><?xml version="1.0" encoding="utf-8"?>
<Properties xmlns="http://schemas.openxmlformats.org/officeDocument/2006/custom-properties" xmlns:vt="http://schemas.openxmlformats.org/officeDocument/2006/docPropsVTypes"/>
</file>