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Centrālo finanšu un līgumu aģentūru un finansējuma saņēmēju, ņemot vērā, ka pagarinot termiņu palielināsies slogs ne tikai īstenojot projektu, bet arī sadarbības iestādei, veicot projekta īstenošanas uzraudzību, kas pārsniedz Eiropas Parlamenta un Padomes 2013. gada 17.decembra Regulā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noteikto izdevumu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vai MK noteikumu projekta grozījumi nav uzskatāmi par būtiskiem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iznākuma rādītāji – līdz 2028.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1.punktā norādīto iznākuma rādītāju sasniegšanas termiņu MK noteikumu Nr.593 9.1.1.apakšpunktā un 9.1.2.apakšpunktā minētajiem rādītājiem atbilstoši darbības programmā “Izaugsme un nodarbinātība” (DP) noteiktajam – tas ir, nepārsniedzot 2023.gadu. Vēršam uzmanību, ka saskaņā ar Ministru kabineta 2022.gada 18.oktobra sēdes protokola Nr.53, 70§ “Informatīvais ziņojums “Par Finanšu ministrijas pārziņā esošo Eiropas Savienības fondu un ārvalstu finanšu palīdzības aktualitātēm līdz 2022. gada 1. septembrim (pusgada ziņojums)”” 7.punktu Vides aizsardzības un reģionālajai attīstības ministrijai atļauts pagarināt tikai nacionālo rādītāju sasniegšanas termiņu līdz pieciem gadiem pēc projektu pabeigšanas. Vienlaikus, ņemot vērā anotācijā sniegto informāciju par to, ka specifiskā atbalsta mērķa līmenī jau šobrīd DP rādītāji ir sasniegti, aicinām izvērtēt iespēju noteikumu projekta 10.3.apakšpunktā kā projektu līmenī noteikto maksimālo rādītāju sasniegšanas termiņu norādīt pagarināto rādītāju sasniegšanas termiņu – 2028.gada 31.decembri” ņemot vērā, ka iznākuma rādītāju attiecināšana projektu līmenī pēc 2023.gada 31.decembra negatīvi neietekmē specifiskā atbalsta mērķa līmenī sasniegtos iznākuma rādītājus. Papildus lūdzam papildināt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tiek konstatēts, ka ir pārkāptas Komisijas regulas Nr. 651/2014, Komisijas regulas Nr. 1388/2014 vai Komisijas regulas Nr. 702/2014 prasības, sadarbības iestāde finansējuma saņēmējam uzliek par pienākumu atmaksāt sadarbības iestādei saņemto nelikumīgo valsts atbalstu. Ja tiek konstatēts, ka ir pārkāptas Komisijas regulas Nr. 1407/2013, Komisijas regulas Nr. 717/2014 vai Komisijas regulas Nr. 1408/2013 prasības, sadarbības iestāde finansējuma saņēmējam uzliek par pienākumu atmaksāt sadarbības iestādei visu saņemto valsts atbalstu. Atbalstu atmaksā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valsts atbalsts tika izmaksāts atbalsta saņēmējam (finansējuma saņēmējam vai sadarbības partnerim), līdz tā atgūšanas dienai, ievērojot Komisijas regulas Nr. 794/2004 11. pantā noteikto procentu likmes piemērošanas metodi. Atmaksa veicama no finansējuma saņēmēja privātā finansējuma, par kuru nav saņemts nekāds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Komercdarbības atbalsta kontroles likumā, kas nosaka nelikumīga komercdarbības atbalsta atgūšanu, lūdzam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tiek pārkāptas šajos noteikumos noteiktās komercdarbības atbalsta kontroles normas, tostarp nosacījumi,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Komisijas regulas Nr. 1388/2014 vai Komisijas regulas Nr. 702/2014 prasībām, sadarbības iestāde finansējuma saņēmējam uzliek par pienākumu atmaksāt sadarbības iestādei projekta ietvaros saņemto nelikumīgo komercdarbības atbalstu kopā ar procentiem no līdzekļiem, kas ir brīvi no komercdarbības atbalsta, atbilstoši Komercdarbības atbalsta kontroles likuma IV vai V nodaļas nosacījumiem. Savukārt, ja tiek pārkāptas šajos noteikumos noteiktās komercdarbības atbalsta kontroles normas, tostarp nosacījumi, kas izriet no Komisijas regulas Nr. 1407/2013, Komisijas regulas Nr. 717/2014 vai Komisijas regulas Nr. 1408/2013 prasībām, sadarbības iestāde finansējuma saņēmējam uzliek par pienākumu atmaksāt sadarbības iestādei visu saņemto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vai rādītāju sasniegšanas termiņa pagarinājuma iespēja attiecas arī uz jau pabeigtajiem projektiem, kuru rādītāju sasniegšanu nav ietekmējušas kara Ukrainā sekas, bet rādītāju nesasniegšanai 3 gadu periodā ir bijuši citi iemesli, piemēram, covid-19 vai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Laula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MK noteikumu projekta ietekmi uz īstenošanā esošajiem projektiem, tai skaitā, vai būs nepieciešami grozījumi noslēgtajos līgumos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28.12.2022.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28.12.2022.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Atzinumi_22-TA-3694.docx</dc:title>
</cp:coreProperties>
</file>

<file path=docProps/custom.xml><?xml version="1.0" encoding="utf-8"?>
<Properties xmlns="http://schemas.openxmlformats.org/officeDocument/2006/custom-properties" xmlns:vt="http://schemas.openxmlformats.org/officeDocument/2006/docPropsVTypes"/>
</file>