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2020. gada 31. decembrim nozares ministrijai nodrošināt vienota modeļa pieņemšanu ''pēdējās jūdzes'' attīstībai (atskaites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5.1.apakšpunktu vai precizēt tajā minēto datumu, ņemot vērā, ka tiesību aktu projektā nevarētu iekļaut tiesību normas, kuras būtu izpildāmas ar atpakaļejošu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2024. gada 31. decembrim 500 tādu mājsaimniecību, uzņēmumu, skolu, slimnīcu un citu sabiedrisko ēku skaits, kam ir piekļuve platjoslas savienojumiem ar ļoti augstas veiktspējas tīklu (uzraudzības rādītājs), tai skaitā, 100 Latgales plānošanas reģionā, 100 Vidzemes plānošanas reģionā, 100 Rīgas plānošanas reģionā, 100 Zemgales plānošanas reģionā, 100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5.2..apakšpunktu, nosakot atšķirīgus sasniedzamos rādītājus un finansējuma apjomus investīcijām plānošanas reģionos, ņemot vērā starp tiem esošās sociālekonomiskās attīstības līmeņa un ātrgaitas datu pārvades infrastruktūras nodrošinājuma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2025. gada 31. decembrim 1500 tādu mājsaimniecību, uzņēmumu, skolu, slimnīcu un citu sabiedrisko ēku skaits, kam ir piekļuve platjoslas savienojumiem ar ļoti augstas veiktspējas tīklu (mērķrādītājs), tai skaitā, 300 Latgales plānošanas reģionā, 300 Vidzemes plānošanas reģionā, 300 Rīgas plānošanas reģionā, 300 Zemgales plānošanas reģionā, 300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5.3. apakšpunktu, nosakot atšķirīgus sasniedzamos rādītājus un finansējuma apjomus investīcijām plānošanas reģionos, ņemot vērā starp tiem esošās sociālekonomiskās attīstības līmeņa un ātrgaitas datu pārvades infrastruktūras nodrošinājuma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2.4.1.2.i. investīcijas atbalsts tiek sniegts granta veidā, un tam pieejamais Atveseļošanas fonda finansējums ir 4 000 000 euro, tai skaitā, 800 000 euro Latgales plānošanas reģionā, 800 000 euro Vidzemes plānošanas reģionā, 800 000 euro Rīgas plānošanas reģionā, 800 000 euro Zemgales plānošanas reģionā, 800 000 euro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9.punktu, nosakot atšķirīgus sasniedzamos rādītājus un finansējuma apjomus investīcijām plānošanas reģionos, ņemot vērā starp tiem esošās sociālekonomiskās attīstības līmeņa un ātrgaitas datu pārvades infrastruktūras nodrošinājuma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to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aktu projekta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aktu projekta pielikuma 2.1.punktu, norādot konkrētu rādītāju (iespējams, ka ir domāts  noteikumu projekta 5.3. punktā minētais rādītājs), par kura pārsniegšanu, izpildi vai neizpildi tiek piešķirti vai nepiešķirti vērtējuma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tiesību aktu projekta pielikuma 2.1.punktu, jo pirmšķietami tajā nav ievērota vērtējuma punktu piešķiršanas loģika, kas paredz augstāku punktu skaitu par augstāku skaitu izpildītu kritēriju nosacījumu. Nosacījumi nedrīkstētu būt  atšķirīgi definēti kā tas ir pašlaik, jo sadaļās par 5 un 3 punktu piešķiršanu vai projekta  noraidīšanu tie atšķiras no sadaļas par 10 punktu piešķiršanu. Loģiska vērtēšanas konstrukcija būtu, ja kritēriju nosacījumi ir vienādi un vērtējuma  punktu skaits tiek samazināts par katru neizpildītu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risinājumu neveikt ex-post novērtējumu par šī tiesību akta projektu īstenošanu un tās ietekmi, ņemot vērā, ka anotācijas projektā ir minēts, ka valstī ir ļoti lielas pilsētu un lauku teritoriju atšķirības platjoslas tīklu pārklājuma ziņā un šī situācija nav apmierinoša un ir jāuzlabo.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tiesību akta ietekmes uz publisko pakalpojumu aprakstu, ņemot vērā, ka anotācijas projektā minēts, ka šāda ietekme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tiesību akta ietekmes uz informācijas sabiedrības politikas īstenošanu  aprakstu, ņemot vērā, ka anotācijas projektā minēts, ka šāda ietekme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tiesību akta ietekmes uz teritoriju attīstību  aprakstu, ņemot vērā, ka anotācijas projektā minēts, ka šāda ietekme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var izmantot tiesības uz līguma par projekta īstenošanu vienpusēja uzteikuma nosacījumiem, kad: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24.punktu, norādot, kas var izmantot tiesības uz līguma par projekta īstenošanu vienpusēja uzteikuma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Vesperis (PKC)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