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3 prim  (2) daļa -  ikgadējās renovācijas prasība 3 % apjoma  daudzām pašvaldībām faktiski nav izpildāma.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nav paredzēts valsts finansējums, lai nodrošinātu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ēku tiks slēgtas skolu tīkla vai funkciju maiņas dēļ – ieguldījumi būtu neracionāli.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pārejas laiku vismaz līdz 2030. gadam  un 3% prasību ieviest pakāpeniski, kā arī noteikt, ka aprēķinā neiekļauj ēkas, kurām plānota slēgšana vai būtiska funkciju maiņa. Obligāti jāparedz valsts atbalsts (granti, aizdevumi,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metodiku par to, kā tiek aprēķināta “atjaunojamā ēku platība”.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19.03.2026.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19.03.2026.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