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6.1.apakšpunktu, minot, kādas tieši nevalstiskās organizācijas ir iesaistītas projekta izstrādē. Attiecīgi lūdzam aizpildīt arī anotācijas 6.3.apakšpunktu, minot, vai institūcijas atbalsta projektā paredzētās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Lūdzam precizēt anotācijas 7.sadaļā sniegto informāciju, jo nav minēts, kā projekts ietekmēs minētās institūcijas, proti, vai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projekts skars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Pabalsta sadzīves priekšmetu un mīkstā inventāra iegādei apmēru pārskata Ministru kabinets pēc labklājības ministra ierosinājuma ņemot vērā Centrālās statistikas pārvaldes noteikto vidējo faktisko patēriņa cenu indeksu. Ja pārskata periodā vidējais faktiskais patēriņa cenu indekss nemainās vai samazinās, pabalsta apmēru nepārskata.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normu, jo Ministru kabinets var darboties tikai likumdevēja piešķirto pilnvaru ietvaros un nav tiesīgs pats sevi pilnvarot veikt noteiktas darbības. Atbilstoši Ministru kabineta iekārtas likuma 3. pantam Ministru kabinets apspriež vai izlemj visas lietas, kuras ietilpst tā kompetencē saskaņā ar Latvijas Republikas Satversmi, starptautisko tiesību normām un likumiem. Līdz ar to vārdi "Ministru kabinets" ir svītrojami.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ir sniegta informācija, ka noteikumu projekts stājas spēkā 2023. gada 1. jūlijā atbilstoši </w:t>
            </w:r>
            <w:r w:rsidR="00000000" w:rsidRPr="00000000" w:rsidDel="00000000">
              <w:rPr>
                <w:u w:val="single"/>
                <w:rtl w:val="0"/>
              </w:rPr>
              <w:t xml:space="preserve">Administratīvā procesa likuma 15. panta sestajai daļai</w:t>
            </w:r>
            <w:r w:rsidR="00000000" w:rsidRPr="00000000" w:rsidDel="00000000">
              <w:rPr>
                <w:rtl w:val="0"/>
              </w:rPr>
              <w:t xml:space="preserve">. Ierosinām precizēt minēto informāciju, jo nav saprotama atsauce uz minēto likuma normu, kas attiecas uz normu kolīzijām.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apliecības sociālo garantiju nodrošināšanai izgatavošanai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Dokumentu juridiskā spēka likuma 4.panta otrās daļas 2.punkts paredz, ka tiesību aktos noteiktajos gadījumos organizācijas dokumentā, lai tam būtu juridisks spēks, papildus obligātajiem rekvizītiem iekļauj arī zīmoga nospiedumu. Līdz ar to aicinām izvērtēt zīmoga nospieduma lietderību un nepieciešamību pieprasījumā, jo tas nav obligātais rekvizīts un tas ir obligāts tikai tad, ja tas ir paredzēts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22-TA-3640</w:t>
    </w:r>
    <w:r>
      <w:br/>
    </w:r>
    <w:r w:rsidR="00000000" w:rsidRPr="00000000" w:rsidDel="00000000">
      <w:rPr>
        <w:rtl w:val="0"/>
      </w:rPr>
      <w:t xml:space="preserve">Izdrukāts 08.06.2023. 21.51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22-TA-3640</w:t>
    </w:r>
    <w:r>
      <w:br/>
    </w:r>
    <w:r w:rsidR="00000000" w:rsidRPr="00000000" w:rsidDel="00000000">
      <w:rPr>
        <w:rtl w:val="0"/>
      </w:rPr>
      <w:t xml:space="preserve">Izdrukāts 08.06.2023. 21.51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Atzinumi_22-TA-3640.docx</dc:title>
</cp:coreProperties>
</file>

<file path=docProps/custom.xml><?xml version="1.0" encoding="utf-8"?>
<Properties xmlns="http://schemas.openxmlformats.org/officeDocument/2006/custom-properties" xmlns:vt="http://schemas.openxmlformats.org/officeDocument/2006/docPropsVTypes"/>
</file>