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līdz 2025. gada 31. decembrim izvērtēt iespējas ietvert likumā "Par ietekmes uz vidi novērtējumu" jēdziena "būtiska ietekme uz vidi"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uztur iebildumu par nepieciešamību papildināt Likuma 1.pantu ar jaunu punktu, kurā skaidrot terminu "būtiska ietekme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likumu nepieciešams papildināt  ar normu, kas nosaka robežlielumus, pret kuriem vērtēt plānotās darbības ietekmes būtiskumu. Kā arī nepieciešams noteikt kārtību kādā būtu jāveic projektu novērtējums pret IVN robežlielumiem. Pārkāpšanas gadījumos, ja nav iespējams izvairīties vai novērst būtisko ietekmi, jānosaka kārtība būtiskas ietekmes uz vidi kompensēšanai ar darbībām un maksājumiem vides kvalitātes uzlabošanai un aizsardzībai (oglekļa kredīti, bioloģiskās daudzveidības kredīti u.c.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piekrīt, ka jautājuma risināšanai tiek paredzēts papildus termiņš, tomēr uzskatam, ka protokollēmumā uzdotā uzdevuma rezultātam ir jābūt izstrādātiem priekšlikumiem likuma "Par ietekmes uz vidi novērtējumu"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Zemkopības ministrijai ir aktuāli, ka likumā tiek pārskatītas 2.pielikuma 3 b) punkta prasības. Ņemot vērā, ka Klimata un enerģētikas ministrija ir apņēmusies vērtēt nepieciešamās izmaiņas 1. un 2. pielikuma darbībām, tad rosinām papildināt protokollēmumu ar uzdevumu un termiņu šī jautājuma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ministrijai sadarbībā ar Viedās administrācijas un reģionālās attīstības ministriju un Zemkopības ministriju  izstrādāt un līdz 2025. gada 31. decembrim iesniegt Ministru kabinetā priekšlikumus grozījumiem likumā  "Par ietekmes uz vidi novērtējumu", lai tajā iekļautu jēdziena "būtiska ietekme uz vidi" skaidrojumu un izmaiņas 1. un 2.pielikumā minētajām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Āboliņa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uztur spēkā savā 05.12.2024. un 27.01.2025. atzinumā sniegtos priekšlikumus par likumprojektu “Grozījumi likumā "Par ietekmes uz vidi novērtējumu"” (turpmāk – Likumprojekts) attiecībā uz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termina “būtiska ietekme uz vidi” skaidrojumu, attiecīgi papildinot grozījumus ar punktu par likuma "Par ietekmes uz vidi novērtējumu" 1. panta papildināšanu ar jaunu 8. punktu, definīciju veidojot atbilstoši 18.02.2021. Komisijas paziņojumam “Tehniskie norādījumi par principa “nenodarīt būtisku kaitējumu” piemērošanu saskaņā ar Atveseļošanas un noturības mehānisma regulu (2021/C 58/01)”, kas nosaka, ka būtiska ietekme uz vidi ir jāinterpretē saskaņā ar 18.06.2020. Eiropas Parlamenta un Padomes regulas (ES) 2020/852 par regulējuma izveidi ilgtspējīgu ieguldījumu veicināšanai un ar ko groza Regulu (ES) 2019/2088 17. pantu par būtisku kaitējumu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izmaiņas Likumprojekta 2. pielikumā “Darbības, kurām nepieciešams sākotnējais izvērtējums” </w:t>
            </w:r>
            <w:r w:rsidR="00000000" w:rsidRPr="00000000" w:rsidDel="00000000">
              <w:rPr>
                <w:u w:val="single"/>
                <w:rtl w:val="0"/>
              </w:rPr>
              <w:t xml:space="preserve">jau šo grozījumu ietvaros</w:t>
            </w:r>
            <w:r w:rsidR="00000000" w:rsidRPr="00000000" w:rsidDel="00000000">
              <w:rPr>
                <w:rtl w:val="0"/>
              </w:rPr>
              <w:t xml:space="preserve">, 2. pielikuma 1. punkta 3) b) apakšpunktu izsakot šādā redakcijā: “</w:t>
            </w:r>
            <w:r w:rsidR="00000000" w:rsidRPr="00000000" w:rsidDel="00000000">
              <w:rPr>
                <w:u w:val="single"/>
                <w:rtl w:val="0"/>
              </w:rPr>
              <w:t xml:space="preserve">esošu meliorācijas vai apūdeņošanas sistēmu pārbūve, ja to zemes platība ir lielāka par 500 hektāriem un paredzētās darbības iespējamā norises vieta atrodas īpaši aizsargājamā dabas teritorijā (Eiropas nozīmes aizsargājamā dabas teritorijā </w:t>
            </w:r>
            <w:r w:rsidR="00000000" w:rsidRPr="00000000" w:rsidDel="00000000">
              <w:rPr>
                <w:i w:val="1"/>
                <w:u w:val="single"/>
                <w:rtl w:val="0"/>
              </w:rPr>
              <w:t xml:space="preserve">Natura 2000</w:t>
            </w:r>
            <w:r w:rsidR="00000000" w:rsidRPr="00000000" w:rsidDel="00000000">
              <w:rPr>
                <w:u w:val="single"/>
                <w:rtl w:val="0"/>
              </w:rPr>
              <w:t xml:space="preserve">), robežojas ar īpaši aizsargājamo dabas teritoriju vai paredzēta 100 metru attālumā no tās;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