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nodrošina komunikācijas un vizuālās identitātes prasību izpildi, kas noteiktas </w:t>
            </w:r>
            <w:r w:rsidR="00000000" w:rsidRPr="00000000" w:rsidDel="00000000">
              <w:rPr>
                <w:i w:val="1"/>
                <w:rtl w:val="0"/>
              </w:rPr>
              <w:t xml:space="preserve">regulas Nr. </w:t>
            </w:r>
            <w:r w:rsidR="00000000" w:rsidRPr="00000000" w:rsidDel="00000000">
              <w:rPr>
                <w:rtl w:val="0"/>
              </w:rPr>
              <w:t xml:space="preserve">2021/1060</w:t>
            </w:r>
            <w:r w:rsidR="00000000" w:rsidRPr="00000000" w:rsidDel="00000000">
              <w:rPr>
                <w:rtl w:val="0"/>
              </w:rPr>
              <w:t xml:space="preserve"> 47. un 50. pantā un normatīvajos aktos,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29.1. apakšpunktā norādīta atsauce uz nesaistošiem dokumentiem (vadlīnijām). Ņemot vērā minēto, lūdzam visā noteikumu projektā svītrot atsauces uz nesaistošiem dokumentiem (vadlīnijām)un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izpildi, kas noteiktas </w:t>
            </w:r>
            <w:r w:rsidR="00000000" w:rsidRPr="00000000" w:rsidDel="00000000">
              <w:rPr>
                <w:i w:val="1"/>
                <w:rtl w:val="0"/>
              </w:rPr>
              <w:t xml:space="preserve">regulas Nr. </w:t>
            </w:r>
            <w:r w:rsidR="00000000" w:rsidRPr="00000000" w:rsidDel="00000000">
              <w:rPr>
                <w:rtl w:val="0"/>
              </w:rPr>
              <w:t xml:space="preserve">2021/1060</w:t>
            </w:r>
            <w:r w:rsidR="00000000" w:rsidRPr="00000000" w:rsidDel="00000000">
              <w:rPr>
                <w:rtl w:val="0"/>
              </w:rPr>
              <w:t xml:space="preserve"> 47. un 50. pantā un normatīvajos aktos,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16.01.2024.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16.01.2024.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