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7.3. un 7.4. apakšpunkts nav loģiski sasaistīts ar 7. punkta redakciju un būtu jāizdala kā atsevišķi noteikumu projekta punkti, t.i., 7.3. punkts būtu jāsasaista ar 7.1. apakšpunktu, savukārt 7.4. punktā minētais nosacījums nav skaidri uztverams, tāpēc lūdzam to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izglītojamo skaits var būt mazāks, nepārsniedzot 25 procentus no šo noteikumu 6.1. – 6.5. apakšpunktā attiecīgajai izglītības iestādei noteiktā izglītojamo skaita, ja saskaņā ar saskaņā ar Valsts izglītības informācijas sistēmas datiem ir sasniegta attiecīgās vispārējās izglītības iestādes mācību telpu maksimālā kapacitāte;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informācijas sistēmā nav  pieejama pilnīga informācija par izglītības iestāžu mācību telpu kapacitāti, kas atbilstoši Ministru Kabineta noteikumu Nr. 610 “Higiēnas prasības izglītības iestādēm, kas īsteno vispārējās pamatizglītības, vispārējās vidējās izglītības, profesionālās pamatizglītības, arodizglītības vai profesionālās vidējās izglītības programmas” 24. punktam atšķiras katrā mācību telpā, atkarībā no mācību priekšmeta, kurš konkrētajā mācību telpā tiek pasniegts.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ceļu būvniecības projekts ir divējādas lietojamības infrastruktūras risinājums, nodrošinot militāro un civilo pielietojumu (atbilst Aizsardzības ministrijas sniegtajam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veidā pirms projekta iesnieguma sagatavošanas un iesniegšanas pašvaldības var saņemt vai iepazīties ar Aizsardzības ministrijas atzinumu par ceļa atbilstību divejādās lietojamības infrastruktūras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valsts budžeta aizdevumu drīkst izmantot būvprojekta izstrādes, būvuzraudzības un autoruzraudzības izmaksu segšanai, ja nepieciešams (arī gadījumos, ja būvprojekta sagatavošana uz investīciju projekta pieteikuma iesniegšanas dienu ir noslēgusies);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10.7. punkts papildināts ar piebildi, ka valsts budžeta aizdevumu var izmantot arī to būvprojekta izstrādes sagatavošanas izmaksu segšanai, kuru sagatavošana uz pieteikumu iesniegšanas dienu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izziņas 38. punktā par LPS 29.01.2024. iebildumu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būvprojektēšana ir veikta un par to ir veikta apmaksa, piemēram, no pašvaldības budžeta līdzekļiem, tad valsts budžeta aizdevumu nedrīkst izmantot, lai pārfinansētu jau apmaksātus 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nesakritību.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investīciju projekta īstenošana paredzēta valsts ģimnāzijā, tad minimālais kopējais izglītojamo skaits 10. - 12. klašu grupā ir un izglītojamo skaita prognoze liecina, ka arī turpmākajos trijos mācību gados būs ne mazāks kā noteikts normatīvajos aktos par kārtību, kādā tiek piešķirts un anulēts valsts ģimnāzijas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ģimnāziju atbilstību noteiktajam minimālajam izglītojamo skaitam 10.-12. klašu grupā, aicinām  ņemt vērā Ministru Kabineta noteikumu Nr. 518 “Kārtība, kādā tiek piešķirts un anulēts valsts ģimnāzijas statuss” 10. punktā noteiktās pielaides valsts ģimnāziju statusa  atbilstības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20.02.2024.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20.02.2024.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Atzinumi_23-TA-2375.docx</dc:title>
</cp:coreProperties>
</file>

<file path=docProps/custom.xml><?xml version="1.0" encoding="utf-8"?>
<Properties xmlns="http://schemas.openxmlformats.org/officeDocument/2006/custom-properties" xmlns:vt="http://schemas.openxmlformats.org/officeDocument/2006/docPropsVTypes"/>
</file>