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tiesību normu adresātiem ir sniegta pilnīga izpratne par plānotajiem grozījumiem. Piemēram, nav skaidrots projekta 35.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precīzas atsauces uz Eiropas Savienības tiesību aktu vienībām. Piemēram, atsauce "Eiropas Parlamenta un Padomes Regulas (ES) 2021/1058 par Eiropas Reģionālās attīstības fondu un Kohēzijas fondu 7. panta iii) apakšpunktā" ir neprecīza.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izsludināt 2.1.3. specifiskā atbalsta mērķa "Veicināt pielāgošanos klimata pārmaiņām, risku novēršanu un noturību pret katastrofām" 2.1.3.1. pasākuma "Pašvaldību pielāgošanās klimata pārmaiņām" otro projektu iesniegumu atlases kārtu kā atklātu projektu iesniegumu atlasi, ka arī veikt iesniegto projektu iesniegumu vērtēšanu un, pēc projektu iesniegumu apstiprināšanas, slēgt ar finansējuma saņēmējiem vienošanās vai līgumus par Eiropas Reģionālās attīstības fonda finansējumu kopsummā ne vairāk kā – 9 264 007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lēmuma projekta 3. punktā nav saglabājams nosacījums par to, ka Centrālā finanšu un līgumu aģentūra veic punktā noteikto uzdevumu pēc pozitīva Eiropas Komisijas lēmuma saņemšanas par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nacionālās un vietējās stratēģijas, kas vērstas uz pielāgošanos klimata pārmaiņām. Iznākuma rādītāja vērtība tiek sasniegta, ja projektu ieguldījumi pirmās atlases kārtas ietvaros tiek veikti saskaņā ar vismaz 10 pašvaldību stratēģijām, otrās atlases kārtas ietvaros - 5 pašvaldību stratēģijām;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analoģiski pirmās atlases kārtas ietvaros sasniedzamajam iznākuma rādītāja vērtības definējumam arī attiecībā uz otrās atlases kārtu nav norādāms, ka iznākuma rādītāja vērtība tiek sasniegta, ja projektu ieguldījumi otrās atlases kārtas ietvaros</w:t>
            </w:r>
            <w:r w:rsidR="00000000" w:rsidRPr="00000000" w:rsidDel="00000000">
              <w:rPr>
                <w:u w:val="single"/>
                <w:rtl w:val="0"/>
              </w:rPr>
              <w:t xml:space="preserve"> tiek veikti saskaņā ar vismaz</w:t>
            </w:r>
            <w:r w:rsidR="00000000" w:rsidRPr="00000000" w:rsidDel="00000000">
              <w:rPr>
                <w:rtl w:val="0"/>
              </w:rPr>
              <w:t xml:space="preserve"> 5 pašvaldību stratēģijām.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pašvaldības izveidotu iestādi, valsts tiešās pārvaldes iestādi, pašvaldības vai valsts kapitālsabiedrību, kas pilda deleģētos pārvaldes uzdevumus vai sniedz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18. punkta daļu "sniedz ūdenssaimniecības pakalpojumus", kontekstā ar analoģiskiem precizējumiem citās projekta vienībās, kur lietots formulējums "sabiedriskais ūdenssaimniecības pakalpojums". Nepieciešamības gadījumā,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komunikāciju infrastruktūras (ūdensvada, kanalizācijas, siltumapgādes, gāzes, elektroenerģijas un sakaru)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komunikāciju infrastruktūras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skaidrojuma sniegšanas iekavās, tos ietverot anotācijā vai pieturzīmi iekavas aizstāt ar pieturzīmi komats, ja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36.3.1.1.</w:t>
            </w:r>
            <w:r w:rsidR="00000000" w:rsidRPr="00000000" w:rsidDel="00000000">
              <w:rPr>
                <w:rtl w:val="0"/>
              </w:rPr>
              <w:t xml:space="preserve">, </w:t>
            </w:r>
            <w:r w:rsidR="00000000" w:rsidRPr="00000000" w:rsidDel="00000000">
              <w:rPr>
                <w:rtl w:val="0"/>
              </w:rPr>
              <w:t xml:space="preserve">36.3.1.2.</w:t>
            </w:r>
            <w:r w:rsidR="00000000" w:rsidRPr="00000000" w:rsidDel="00000000">
              <w:rPr>
                <w:rtl w:val="0"/>
              </w:rPr>
              <w:t xml:space="preserve">, </w:t>
            </w:r>
            <w:r w:rsidR="00000000" w:rsidRPr="00000000" w:rsidDel="00000000">
              <w:rPr>
                <w:rtl w:val="0"/>
              </w:rPr>
              <w:t xml:space="preserve">36.3.4. </w:t>
            </w:r>
            <w:r w:rsidR="00000000" w:rsidRPr="00000000" w:rsidDel="00000000">
              <w:rPr>
                <w:rtl w:val="0"/>
              </w:rPr>
              <w:t xml:space="preserve">apakšpunktu</w:t>
            </w:r>
            <w:r w:rsidR="00000000" w:rsidRPr="00000000" w:rsidDel="00000000">
              <w:rPr>
                <w:rtl w:val="0"/>
              </w:rPr>
              <w:t xml:space="preserve"> ​​​​​​​ un </w:t>
            </w:r>
            <w:r w:rsidR="00000000" w:rsidRPr="00000000" w:rsidDel="00000000">
              <w:rPr>
                <w:rtl w:val="0"/>
              </w:rPr>
              <w:t xml:space="preserve">36.3. </w:t>
            </w:r>
            <w:r w:rsidR="00000000" w:rsidRPr="00000000" w:rsidDel="00000000">
              <w:rPr>
                <w:rtl w:val="0"/>
              </w:rPr>
              <w:t xml:space="preserve">apakšpunktā</w:t>
            </w:r>
            <w:r w:rsidR="00000000" w:rsidRPr="00000000" w:rsidDel="00000000">
              <w:rPr>
                <w:rtl w:val="0"/>
              </w:rPr>
              <w:t xml:space="preserve"> ​​​​​​​ minēto principu “Energoefektivitāte pirmajā vietā” nepiemēro pasākuma otrās atlases kārtas ietvaros, kā arī neveic datu uzkrāšanu par horizontālā principa “Energoefektivitāte pirmajā vietā”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33. punktu, veikt tajā nepieciešamos precizējumus un sniegt pamatojošus skaidrojumus anotācijā. Vēršam uzmanību, ka otrās atlases kārtas ietvaros plānots nepiemērot tikai principu “Energoefektivitāte pirmajā vietā”. Proti, joprojām jānodrošina Ministru kabineta 2024. gada 7. maija noteikumu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 (turpmāk - Noteikumi) 36.3.apakšpunkta apakšvienībās uzskaitīto prasību izpilde, lai nodrošinātu arī horizontālo principu "Nenodarīt būtisku kaitējumu" un "Klimatdrošināšana"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nosakot, ka šo Noteikumu 36.3.1.1., 36.3.1.2. un 36.3.4. apakšpunktu nepiemēro pasākuma otrās atlases kārtas ietvaros, saprotams, ka finansējuma saņēmējam vispār nav jāiesniedz, piemēram, apliecinājums par to, ka būvdarbu veicējiem vai pakalpojumu sniedzējiem noteikts pienākums ievērot, ka projekta ietvaros azbestu saturoši materiāli tiks apstrādāti un transportēti atbilstoši normatīvajiem aktiem par darba aizsardzības prasībām darbā ar azbestu un azbesta atkritumu apsaimniekošanu (Noteikumu 36.3.1.2.apakšpunkts), kas Noteikumu spēkā esošajā redakcijā attiecas arī uz horizontālo principu "Nenodarīt būtisku kaitējumu" un "Klimatdrošināšana".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projekta iesniegumā iekļautas šo noteikumu </w:t>
            </w:r>
            <w:r w:rsidR="00000000" w:rsidRPr="00000000" w:rsidDel="00000000">
              <w:rPr>
                <w:rtl w:val="0"/>
              </w:rPr>
              <w:t xml:space="preserve">24.1.1.</w:t>
            </w:r>
            <w:r w:rsidR="00000000" w:rsidRPr="00000000" w:rsidDel="00000000">
              <w:rPr>
                <w:rtl w:val="0"/>
              </w:rPr>
              <w:t xml:space="preserve"> vai </w:t>
            </w:r>
            <w:r w:rsidR="00000000" w:rsidRPr="00000000" w:rsidDel="00000000">
              <w:rPr>
                <w:rtl w:val="0"/>
              </w:rPr>
              <w:t xml:space="preserve">24.1.2.</w:t>
            </w:r>
            <w:r w:rsidR="00000000" w:rsidRPr="00000000" w:rsidDel="00000000">
              <w:rPr>
                <w:rtl w:val="0"/>
              </w:rPr>
              <w:t xml:space="preserve"> apakšpunktā minētās darbības meliorācijas sistēmā vai tās daļā, kas nav reģistrēta meliorācijas kadastra informācijas sistēmā, tad projekta ietvaros atjaunotās vai pārbūvētās meliorācijas sistēmas līdz projekta darbību pabeigšanai – pirms noslēguma maksājuma veikšanas, jāreģistrē meliorācijas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projektu vai skaidrot projekta 37. punktu kontekstā ar 22. punktā noteikto: "</w:t>
            </w:r>
            <w:r w:rsidR="00000000" w:rsidRPr="00000000" w:rsidDel="00000000">
              <w:rPr>
                <w:i w:val="1"/>
                <w:rtl w:val="0"/>
              </w:rPr>
              <w:t xml:space="preserve">Pasākuma otrās atlases kārtas projektos nav atbalstāmas šo noteikumu 24.1.1. un 24.1.2. apakšpunktā minētās darbības</w:t>
            </w:r>
            <w:r w:rsidR="00000000" w:rsidRPr="00000000" w:rsidDel="00000000">
              <w:rPr>
                <w:rtl w:val="0"/>
              </w:rPr>
              <w:t xml:space="preserve">". Proti, secināms, ka projekta 37. punkts būs attiecināms tikai uz pirmās atlases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24.11.2025.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24.11.2025.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