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(Tieslietu ministrijas 31.01.2024.g.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komercdarbības atbalsta izvērtējumu attiecībā uz projektu iesniedzēju, gan papildināt ar izvērtējumu attiecībā uz sadarbības partneru līmeni. Skaidrojam, ka tā kā plānotā pasākuma ietvaros projekta iesniedzējs un sadarbības partneris netiek izvēlēts iepirkumā un, ka šie subjekti īstenos tādus pakalpojumus, ko normāli nodrošina tirgus dalībnieks savas saimnieciskās darbības ietvaros, piem., konferenču, apmācību un semināru organizēšana, šobrīd nav iespējams izslēgt selektīvu ekonomisko priekšrocību projektu iesniedzēju un sadarbības partneru līmenī, ko var izslēgt, ja tiks sniegts pamatojums, ka atlīdzība minētajiem pakalpojumu sniedzējiem nepārsniegs tirgus cenu. Gadījumā, ja selektīvas ekonomiskas priekšrocības neesamību nevar pamatot, noteikumu projekts ir jāpapildina ar piemērojamā komercdarbības atbalsta regulējuma nosacījumiem, piemēram,  Komisijas Regulu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29.07.2024.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29.07.2024.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