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plānotais kopējais attiecināmais finansējums ir 2 610 000 </w:t>
            </w:r>
            <w:r w:rsidR="00000000" w:rsidRPr="00000000" w:rsidDel="00000000">
              <w:rPr>
                <w:i w:val="1"/>
                <w:rtl w:val="0"/>
              </w:rPr>
              <w:t xml:space="preserve">euro </w:t>
            </w:r>
            <w:r w:rsidR="00000000" w:rsidRPr="00000000" w:rsidDel="00000000">
              <w:rPr>
                <w:rtl w:val="0"/>
              </w:rPr>
              <w:t xml:space="preserve">(tai skaitā elastības finansējuma apjoms – 411 792 </w:t>
            </w:r>
            <w:r w:rsidR="00000000" w:rsidRPr="00000000" w:rsidDel="00000000">
              <w:rPr>
                <w:i w:val="1"/>
                <w:rtl w:val="0"/>
              </w:rPr>
              <w:t xml:space="preserve">euro</w:t>
            </w:r>
            <w:r w:rsidR="00000000" w:rsidRPr="00000000" w:rsidDel="00000000">
              <w:rPr>
                <w:rtl w:val="0"/>
              </w:rPr>
              <w:t xml:space="preserve">), tai skaitā ESF+ finansējums – 2 218 500 </w:t>
            </w:r>
            <w:r w:rsidR="00000000" w:rsidRPr="00000000" w:rsidDel="00000000">
              <w:rPr>
                <w:i w:val="1"/>
                <w:rtl w:val="0"/>
              </w:rPr>
              <w:t xml:space="preserve">euro </w:t>
            </w:r>
            <w:r w:rsidR="00000000" w:rsidRPr="00000000" w:rsidDel="00000000">
              <w:rPr>
                <w:rtl w:val="0"/>
              </w:rPr>
              <w:t xml:space="preserve">(tai skaitā elastības finansējuma apjoms – 350 024 </w:t>
            </w:r>
            <w:r w:rsidR="00000000" w:rsidRPr="00000000" w:rsidDel="00000000">
              <w:rPr>
                <w:i w:val="1"/>
                <w:rtl w:val="0"/>
              </w:rPr>
              <w:t xml:space="preserve">euro</w:t>
            </w:r>
            <w:r w:rsidR="00000000" w:rsidRPr="00000000" w:rsidDel="00000000">
              <w:rPr>
                <w:rtl w:val="0"/>
              </w:rPr>
              <w:t xml:space="preserve">) un nacionālais finansējums (valsts budžeta līdzfinansējums) –  391 500 </w:t>
            </w:r>
            <w:r w:rsidR="00000000" w:rsidRPr="00000000" w:rsidDel="00000000">
              <w:rPr>
                <w:i w:val="1"/>
                <w:rtl w:val="0"/>
              </w:rPr>
              <w:t xml:space="preserve">euro </w:t>
            </w:r>
            <w:r w:rsidR="00000000" w:rsidRPr="00000000" w:rsidDel="00000000">
              <w:rPr>
                <w:rtl w:val="0"/>
              </w:rPr>
              <w:t xml:space="preserve">(tai skaitā elastības finansējuma apjoms – 61 768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ka nacionālais līdzfinansējums ir tikai valsts budžeta līdzfinansējums, lūdzam noteikumu projekta 9. un 10. punktā svītrot norādi uz nacionālo finansējumu, tā vietā saglabājot norādi tieši uz valsts budžeta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ir atvasināta publisko tiesību juridiskā persona Sabiedrības integrācijas fonds, kas veicina sabiedrības integrāciju atbilstoši Sabiedrības integrācijas fonda likumam. Projekta iesniedzējs pēc projekta iesnieguma apstiprināšanas sadarbības iestādē un vienošanās par projekta īstenošanu noslēgšanas ir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15.punktā vārdus "un vienošanās par projekta īstenošanu noslēgšanas", ņemot vērā, ka atbilstoši Eiropas Savienības fondu 2021-2027. gada plānošanas perioda vadības likuma 1. panta 3. punktā minētajam, finansējuma saņēmējs ir persona, kuras projekta iesniegums ir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un 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uzņemas segt sadārdzinājumu, nodrošina nepārklāšanās principu ar citiem valsts un ārvalstu finanšu atbalsta instrumentiem un dubultā finansējuma neiestāšanos." Vēršam uzmanību, ka termins "investīcijas" tiek lietots Atveseļošanas un noturības mehānisma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uzņemas segt sadārdzinājumu, nodrošina nepārklāšanās principu ar citiem valsts un ārvalstu finanšu atbalsta instrumentiem un dubultā finansējuma neiestāšanos.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un sadarbības partneris paraksta interešu konflikta neesības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22.punktu un anotāciju, paredzot, ka interešu konflikta neesību nodrošina arī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līdz brīdim, kad tiks apstiprināta atbildīgās iestādes izstrādātā vienas vienības izmaksu standarta likmes aprēķina un piemērošanas metodika personāla izmaksām (turpmāk – personāla izmaksu metodika),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25.1.apakšpunktu, ka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tiks apstiprināta atbildīgās iestādes izstrādātā un ar vadošo iestādi saskaņotā vienas vienības izmaksu standarta likmes aprēķina un piemērošanas metodika personāla izmaksām (turpmāk – personāla izmaksu metodika),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pēc personāla izmaksu metodikas apstiprināšanas, finansējuma saņēmēja projekta īstenošanas personāla un vadības personāla izmaksas, piemērojot personāla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izcelt šo apakšpunktu kā atsevišķu punktu MK noteikumos un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personāla izmaksu metodikas apstiprināšanas, finansējuma saņēmēja projekta īstenošanas personāla un vadības personāla izmaksas tiek segtas piemērojot personāla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personāla izmaksu metodikas apstiprināšanas, finansējuma saņēmēja projekta īstenošanas personāla un vadības personāla izmaksas tiek segtas piemērojot personāla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tam, kad noslēgta vienošanās par projekta īstenošanu, finansējuma saņēmējs nodrošina projekta īstenošanai nepieciešamā finansējuma pieprasīšanu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30.punktu, izvērtēt un pēc nepieciešamības pārcelt uz Ministru kabineta sēdes protokollēmuma projektu. Papildus lūdzam precīzi norādīt Ministru kabineta locekli, kurš vērsīsies Ministru kabinetā, ņemot vērā, ka finansējuma saņēmējs - Sabiedrības integrācijas fonds - ir atvasināta publiska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šajā gadījumā sanāk, ka no projekta vadības un īstenošanas personāla izmaksām tiek rēķināta 7% likme, jo citas attiecināmo izmaksu pozīcijas netiek plānotas, taču skaidrības nolūkos lūgums precizēt atbilstoši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4.3.4.8. pasākuma ietvaros netiešās attiecināmās izmaksas plāno kā vienu izmaksu pozīciju, piemērojot netiešo izmaksu vienoto likmi 7% apmērā no projekta tiešajām attiecināmajām izmaksām saskaņā ar Regulas Nr. 2021/1060 54. panta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2.sadaļas apakšsadaļu “Juridiskās personas” ar Kultūras ministriju, savukārt atbilstošajā apakšsadaļā “Ietekmes apraksts” norādot, ka Sabiedrības integrācijas fonds pildīs finansējuma saņēmēja funkcijas, un Kultūras ministrija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8.1.13.apakšsadaļu, norādot, kuru personu datu apstrāde tiks veikta saskaņā ar Eiropas Parlamenta un Padomes 2021. gada 24. jūnija Regulu (ES) Nr. 2021/1057, ar ko izveido Eiropas Sociālo fondu Plus (ESF+) un atceļ Regulu (ES) Nr. 1296/2013, un ka tieši attiecīgie dati tiks iesniegti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27.09.2023.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27.09.2023.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Atzinumi_23-TA-1407.docx</dc:title>
</cp:coreProperties>
</file>

<file path=docProps/custom.xml><?xml version="1.0" encoding="utf-8"?>
<Properties xmlns="http://schemas.openxmlformats.org/officeDocument/2006/custom-properties" xmlns:vt="http://schemas.openxmlformats.org/officeDocument/2006/docPropsVTypes"/>
</file>