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patērētāju informēšanu par transporta enerģijas veidu un sastāvu, par transporta enerģijas salīdzināmām cenām un to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Salīdzināmās transporta enerģijas cenas tiek aprēķinātas energoresursu informācijas sistēmā (turpmāk – Sistēma), kuru izveido un uztur Būvniecības valsts kontroles birojs, ievērojot Komisijas 2018. gada 17. maija Īstenošanas regulu (ES) 2018/732 par kopīgu metodoloģiju alternatīvu degvielu vienības cenu salīdzināšanai saskaņā ar Eiropas Parlamenta un Padomes Direktīvu 2014/94/ES.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"kuru izveido un uztur Būvniecības valsts kontroles birojs", jo Transporta enerģijas likuma 10. panta ceturtās daļas 2. un 4. punktā nav paredzēts pilnvarojums noteikt attiecīgu tiesisko regulējumu (proti, kas izveido un uztur energoresursu informācijas sistēmu). Turklāt minētais dublē Ministru kabineta noteikumu projektā "Energoresursu informācijas sistēmas noteikumi" (23-TA-385) ietverto regulējumu. Atgādinām, ka pilnvarojums Ministru kabinetam noteikt informācijas sistēmas pārzini izriet no Valsts informācijas sistēmas likuma 5. panta 12. daļas, savukārt energoresursu informācijas sistēmas izveides tiesiskais pamats izriet no Energoefektivitātes likuma 15. panta pirmās daļas. Norādām, ka ar informācijas sistēmas darbību saistītie nosacījumi ietverami vienotā normatīvajā regulējumā, nedublējot atsevišķus jautājumus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Šie noteikumi stājas spēkā nākamajā dienā pēc tam, kad stājas spēkā normatīvie akti par transporta enerģijas kvalitātes prasības un atbilstības kvalitātes prasībām nodrošināšana, transporta enerģijas tirgus uzraudzība un transporta enerģijas pienākumu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paredzēt, ka Ministru kabineta noteikumu spēkā stāšanās ir atkarīga no cita tiesību akta spēkā stāšanās (vairāk par Ministru kabineta noteikumu spēkā stāšanās veidiem lūdzam skatīt Normatīvo aktu projektu izstrādes rokasgrāmatā apakšsadaļā par Ministru kabineta noteikumu stāšanos spēkā un spēkā esību (pieejama: https://tai.mk.gov.lv/book/1/chapter/116). Attiecīgi lūdzam svītrot noteikumu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izziņas 7. punktā, saistītie Ministru kabineta noteikumu projekti tiks virzīti apstiprināšanai Ministru kabinetā vienotā pakotnē, attiecīgi, ja tie tiks apstiprināti vienā Ministru kabineta sēdē, tie stāsies spēkā vienā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24.02.2026.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24.02.2026.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Atzinumi_22-TA-2906.docx</dc:title>
</cp:coreProperties>
</file>

<file path=docProps/custom.xml><?xml version="1.0" encoding="utf-8"?>
<Properties xmlns="http://schemas.openxmlformats.org/officeDocument/2006/custom-properties" xmlns:vt="http://schemas.openxmlformats.org/officeDocument/2006/docPropsVTypes"/>
</file>