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sadaļā «Apstrādes informācija» norādīts, ka turpmāk norādītais iebildums ir ņemts vērā. Tomēr šīs sadaļas turpinājumā pretēji tam ir norādīts «Pārrunās nav panākta šāda vienošanās». Citi argumenti, kas atspēkotu turpmāk (atkārtoti) norādīto LLPA viedokli, nav norādīti.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LLPA joprojām uztur iebildumu par to, ka šobrīd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Praksē tas izraisa pašvaldības autonomo funkciju izpildes sarežģījumus un pašvaldības ekonomiskā pamata aizskārumu, pašvaldībai negūstot ieņēmumus no sava īpašuma izmantošanas, kas būtu nekavējoši jānovērš, tostarp nepieciešams papildināt likumprojektu ar attiecīgām normām, atgriežot Ventspils pašvaldībai tās īpašuma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Likumprojektā atkārtoti precizētais Ostu likuma pārejas noteikumu 16. punkta 2. apakšpunkts joprojām pārkāpj Ventspils pašvaldības tiesības uz līdzvērtīgiem pamatiem piedalīties akciju sabiedrības «Ventas osta» pārvaldībā, kas apsaimnieko milzīgu pašvaldības īpašumu apjomu. Šāds apgalvojums izriet no turpmāk atkārtoti norādītajiem juridiskiem un praktiskiem apsvērumiem,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sadaļā «Apstrādes informācija» norādītais, ka pārrunās starp Satiksmes ministriju un Ventspils valstspilsētas pašvaldību, vienošanās par līdzvērtīgu kapitāladaļu sadalījumu netika panākta, nesniedz pamatojumu par pašvaldības viedokļa trūkumiem.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kopējās hidrotehniskās būves (moli, straumes regulēšanas dambji, viļņlauži, krasta nostiprinājumi) un kuģuceļi;».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ja ir ticis pieņemts attiecīgās pašvaldības domes lēmums,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05.07.2023. 22.48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05.07.2023. 22.48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