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ārkārtējās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likuma "Par ārkārtējo situāciju un izņēmuma stāvokli" 19. panta otrā daļa noteic, ka </w:t>
            </w:r>
            <w:r w:rsidR="00000000" w:rsidRPr="00000000" w:rsidDel="00000000">
              <w:rPr>
                <w:u w:val="single"/>
                <w:rtl w:val="0"/>
              </w:rPr>
              <w:t xml:space="preserve">ārkārtējās situācijas un izņēmuma stāvokļa laikā pieņemtajiem pārvaldes lēmumiem, kas nosaka ierobežojumus un papildu pienākumus, jābūt ar leģitīmu mērķi, samērīgiem, nediskriminējošiem, pamatotiem un nepieciešamiem katrā konkrētajā valsts apdraudējuma gadījumā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Ministru kabineta noteikumu projekta "Par ārkārtējās situācijas izsludināšanu"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ietvertās informācijas skaidri neizriet, ka vērtēts projektā paredzēto ierobežojumu un papildu pienākumu samērīgums, pamatotība un nepieciešamība. Tāpat nav arī izvērsta skaidrojuma par to, kā ārkārtējās situācijas izsludināšana varētu ietekmēt citas jomas nākotnē (piemēram, ekonomiku, enerģētiku (mājokļu apkuri), mežsaimniecību, dabas aizsardzību u.tml.). Ievērojot minēto, atkārtoti lūdzam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atkārtoti lūdzam papildināt anotāciju ar informāciju par iespējamiem tiesvedības riskiem, ja ārkārtējo situāciju atzītu par nepamatoti izsludinātu.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23-TA-578</w:t>
    </w:r>
    <w:r>
      <w:br/>
    </w:r>
    <w:r w:rsidR="00000000" w:rsidRPr="00000000" w:rsidDel="00000000">
      <w:rPr>
        <w:rtl w:val="0"/>
      </w:rPr>
      <w:t xml:space="preserve">Izdrukāts 28.03.2023.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23-TA-578</w:t>
    </w:r>
    <w:r>
      <w:br/>
    </w:r>
    <w:r w:rsidR="00000000" w:rsidRPr="00000000" w:rsidDel="00000000">
      <w:rPr>
        <w:rtl w:val="0"/>
      </w:rPr>
      <w:t xml:space="preserve">Izdrukāts 28.03.2023.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Atzinumi_23-TA-578.docx</dc:title>
</cp:coreProperties>
</file>

<file path=docProps/custom.xml><?xml version="1.0" encoding="utf-8"?>
<Properties xmlns="http://schemas.openxmlformats.org/officeDocument/2006/custom-properties" xmlns:vt="http://schemas.openxmlformats.org/officeDocument/2006/docPropsVTypes"/>
</file>