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tiek ieviesta jauna norma - piemērot naudas sodu juridiskajām personām par priekšapmaksas pakalpojuma sniegšanu, nereģistrējot priekšapmaksas pakalpojuma galalietotāju, tirdzniecības vietu, kurā tirdzniecības komersants pakalpojumu nodevis priekšapmaksas pakalpojuma galalietotājam vai mobilo sakaru priekšapmaksas kartes numuru, lūdzam anotācijas 3. sadaļā norādīt vismaz indikatīvo paredzamo ietekmi uz valsts budžeta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19.06.2025.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19.06.2025.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Atzinumi_24-TA-3267.docx</dc:title>
</cp:coreProperties>
</file>

<file path=docProps/custom.xml><?xml version="1.0" encoding="utf-8"?>
<Properties xmlns="http://schemas.openxmlformats.org/officeDocument/2006/custom-properties" xmlns:vt="http://schemas.openxmlformats.org/officeDocument/2006/docPropsVTypes"/>
</file>