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obligātās veselības pārbaudes izmaksas nav paredzēts ietvert personāla izmaksu metodikā, ņemot vērā Vadlīniju attiecināmo izmaksu noteikšanai Eiropas Savienības kohēzijas politikas programmas 2021.-2027.gada plānošanas periodā 17.atsauci.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transporta pakalpojumi izmaksas (transportlīdzekļa noma un transporta pakalpojumu pirkšana) ir attiecināmas arī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savā tīmekļa 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šī punkta interpretācijai no projekta iesniedzēja un sadarbības iestādes puses, lūdzam noteikt minimālo biežumu, ar kuru tiek publicēta informācija tīmekļa vietnē un sociālajos tīklos: piemēram, ne retāk kā reizi 6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aprakstu par demarkāciju, papildināmību ar informāciju par  Atveseļošanas un noturības mehānisma (AF) plāna reformu 6.3.1.r. "Publiskās pārvaldes modernizācija" un investīciju 2.1.2.1.i "Pārvaldes centralizētās platformas un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07.03.2024.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07.03.2024.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