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pirmās kārtas mērķis ir valsts agrīnās brīdināšanas sistēmas ietvaros ieviest sabiedrības brīdināšanas risinājumu par tiešiem un draudošiem ārkārtas notikumiem, kas ļauj nosūtīt brīdinājumu, izmantojot šūnu apraides tehnoloģiju (turpmāk –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tiesību normu piemērošanu un atbilstību Eiropas Savienības fondos lietotajai terminoloģijai, aicinām izvērtēt un nelietot saīsinājumu "projekts", apzīmējot šūnu apraides tehnoloģiju. Atbilstoši Eiropas Savienības fondu 2021.—2027. gada plānošanas perioda vadības likuma 1.panta 8.punktam projekts ir projekta iesniegums, kas atbilst projektu iesniegumu vērtēšanas kritērijiem un ko apstiprinājusi sadarbības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informācijas sistēmu iegāde un izstrāde;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Informācijas un komunikācijas tehnoloģiju ieguldījumu gadījumā aicinām izvērtēt un MK noteikumos norādīt, vai ieguldījumi plānoti publiskās pārvaldes īpašumā esošajos digitālajos risinājumos, tai skaitā pēc ieguldījumu veikšanas finansējuma saņēmēja īpašumā atradīsies pirmkodi, intelektuālā īpašuma tiesības, tai skaitā risinājuma modificēšanas tiesības, lai novērstu gadījumus, kad tiek kropļota konkurence, veicot publiskus ieguldījumus kāda konkrēta komersanta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17.2.3. tehniskās infrastruktūras un ražotāja sērijveida programmatūras uzstādīšanas un konfigurēšanas izmaksas, tai skaitā licenču un uzturēšanas atbalsta atjauninājumu izmaksas licenču vai programmatūras darbības periodā piecus gadus pēc projekta īstenošanas;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redakciju, aicinām noteikumu projekta 17.2.3.apakšpunktu izteikt šādi "17.2.3. tehniskās infrastruktūras un ražotāja sērijveida programmatūras uzstādīšanas un konfigurēšanas izmaksas, tai skaitā licenču un uzturēšanas atbalsta atjauninājumu izmaksas licenču vai programmatūras darbības periodā, </w:t>
            </w:r>
            <w:r w:rsidR="00000000" w:rsidRPr="00000000" w:rsidDel="00000000">
              <w:rPr>
                <w:u w:val="single"/>
                <w:rtl w:val="0"/>
              </w:rPr>
              <w:t xml:space="preserve">kas nepārsnied</w:t>
            </w:r>
            <w:r w:rsidR="00000000" w:rsidRPr="00000000" w:rsidDel="00000000">
              <w:rPr>
                <w:rtl w:val="0"/>
              </w:rPr>
              <w:t xml:space="preserve">z piecus gadus pēc projekta īstenošanas;"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17.2.3. tehniskās infrastruktūras un ražotāja sērijveida programmatūras uzstādīšanas un konfigurēšanas izmaksas, tai skaitā licenču un uzturēšanas atbalsta atjauninājumu izmaksas licenču vai programmatūras darbības periodā, kas nepārsniedz piecus gadus pēc projekta īstenošanas;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Legzdiņa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16.7.apakšpunktā kā atbalstāmā darbība ir minēta arī projektu īstenošana un no anotācijā minētā ir secināms, ka likmes aprēķinā ietverts arī projekta īstenošanas personāls, lūdzam noteikumu projekta 17.3.apakšpunktā un anotācijā veikt precizējumus, norādot, ka tās ir projekta vadības un īstenošanas personāla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 projekta vadības un īstenošanas personāla izmaksas, kuras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55. panta 1. punktu plāno kā vienu izmaksu pozīciju, piemērojot vienoto izmaksu likmi 5 procentu apmērā no projekta pārējām tiešajām attiecināmajām izmaksām, bet neieskaitot tiešās attiecināmās personāla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Finansējuma saņēmējs nodrošina, lai pasākuma ietvaros plānotās izmaksas nepārklātos ar citiem valsts un ārvalstu finanšu atbalsta instrumentiem.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22.punktu ar nosacījumu par dubultā finansējuma neiestāšanos.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2023.gada 13.jūlija sēdes protokollēmuma Nr.36 85. § 3.punktam, lai veicinātu Eiropas Savienības fondu projektu izvērtējuma par izmaksu un ieguvumu analīzi veikšanu ne tikai gadījumos, kad Eiropas Savienības fondu projekta ietvaros plānots gūt neto ieņēmumus, atbildīgā iestāde, izstrādājot Ministru kabineta noteikumu projektu par specifiskā atbalsta mērķa īstenošanu, paredz nepieciešamību finansējuma saņēmējam veikt izvērtējumu par izmaksu un ieguvumu analīzi Eiropas Savienības fondu projektiem, kuru atlase paredzēta ierobežotas projektu iesniegumu atlases veidā un projekta kopējās izmaksas (ieskaitot PVN) pārsniedz 1 miljonu euro. Izvērtējot MK noteikumu projekta 14.punktā ietverto regulējumu un anotācijā ietverto informāciju, lūdzam papildināt  anotāciju ar skaidrojumu, vai projekta iesniedzējs veic jaunu izmaksu un ieguvumu analīzi, izpildot minētā protokollēmumā noteikto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 anotācijas sadaļā pie personāla likmes aprēķina teikuma daļu "</w:t>
            </w:r>
            <w:r w:rsidR="00000000" w:rsidRPr="00000000" w:rsidDel="00000000">
              <w:rPr>
                <w:i w:val="1"/>
                <w:rtl w:val="0"/>
              </w:rPr>
              <w:t xml:space="preserve">(prēmijas, atvaļinājuma pabalsti, apdrošināšana, briļļu kompensācija,Valsts sociālās apdrošināšanas obligātās iemaksas)</w:t>
            </w:r>
            <w:r w:rsidR="00000000" w:rsidRPr="00000000" w:rsidDel="00000000">
              <w:rPr>
                <w:rtl w:val="0"/>
              </w:rPr>
              <w:t xml:space="preserve">" , ņemot vērā, ka personāla izmaksu tvērums ir noteikts vadlīnijās attiecināmo izmaksu noteikšanai Eiropas Savienības kohēzijas politikas programmas 2021.-2027.gada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noteiktos izmaksu attiecināmības nosacījumus un projektu kopējo finansējumu, projekta vadības un īstenošanas personāla izmaksām pieejamais finansējums sasniedz 164 639​​​ euro, kas veido 5% no kopējām projekta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19.09.2023.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19.09.2023.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