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Radiofrekvences piešķīruma lietošanas atļauju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radioiekārta atbilst Ministru kabineta 2016. gada 7. jūnija noteikumos Nr. 360 "Radioiekārtu atbilstības novērtēšanas, piedāvāšanas tirgū, uzstādīšanas un lietošanas noteikumi"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"Radiofrekvenču piešķīruma lietošanas atļauju noteikumi" (turpmāk – projekts) 15.1. apakšpunktā ir ietverta atsauce uz Ministru kabineta 2016. gada 7. jūnija noteikumiem Nr. 360 "Radioiekārtu atbilstības novērtēšanas, piedāvāšanas tirgū, uzstādīšanas un lietošanas noteikumi". Vēršam uzmanību uz to, ka Elektronisko sakaru likuma pārejas noteikumu 2. punkta 14. apakšpunkts noteic, ka līdz šajā likumā paredzēto Ministru kabineta noteikumu spēkā stāšanās dienai, bet </w:t>
            </w:r>
            <w:r w:rsidR="00000000" w:rsidRPr="00000000" w:rsidDel="00000000">
              <w:rPr>
                <w:u w:val="single"/>
                <w:rtl w:val="0"/>
              </w:rPr>
              <w:t xml:space="preserve">ne ilgāk kā līdz 2022. gada 30. septembrim piemērojami Ministru kabineta 2016. gada 7. jūnija noteikumi Nr. 360 "Radioiekārtu atbilstības novērtēšanas, piedāvāšanas tirgū, uzstādīšanas un lietošanas noteikumi"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šobrīd ir 2023. gada februāris, projektā nevar ietvert atsauci uz Ministru kabineta 2016. gada 7. jūnija noteikumiem Nr. 360 "Radioiekārtu atbilstības novērtēšanas, piedāvāšanas tirgū, uzstādīšanas un lietošanas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izstrādāts Ministru kabineta noteikumu projekts "Radioiekārtu atbilstības novērtēšanas, piedāvāšanas tirgū, uzstādīšanas, lietošanas un uzraudzības noteikumi" (21-TA-421), bet tas vēl nav spēkā. Līdz ar to atbilstoši Ministru kabineta 2009. gada 3. februāra noteikumu Nr. 108 "Normatīvo aktu projektu sagatavošanas noteikumi" 136. punktā noteiktajam projektā nevar ietvert atsauci arī uz Ministru kabineta noteikumu projektu "Radioiekārtu atbilstības novērtēšanas, piedāvāšanas tirgū, uzstādīšanas, lietošanas un uzraudzības noteikumi" (21-TA-421).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15.1. apakšpunktā paredzēto regulējumu, kā arī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un 4.2.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minētajam lūdzam izvērtēt arī projekta 30. punktā un 38.5. apakšpunktā paredzēto regulējumu un attiecīgi precizēt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Radioatļauju radioiekārtas uzstādīšanai un lietošanai Ministru kabineta 2022. gada 11. oktobra noteikumos Nr. 635 “Ierobežoto radiofrekvenču joslu noteikumi” noteiktās ierobežotās radiofrekvenču joslās var izsniegt, ja ir spēkā Sabiedrisko pakalpojumu regulēšanas komisijas lēmums par ierobežotas radiofrekvenču joslas lietošanas tiesību piešķiršanu, par atļauju kopīgai ierobežotas radiofrekvenču joslas izmantošanai vai par atļauju ierobežotas radiofrekvenču joslas iznomāšanai. Radioatļaujas joslās, kurās Sabiedrisko pakalpojumu regulēšanas komisija ir izdevusi radiofrekvenču spektra lietošanas tiesības uz ierobežotu radiofrekvenču joslu, ir spēkā šo tiesību derīguma laikā vai līdz radioatļaujas anulēšanai.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Elektronisko sakaru likuma 48. pantā ir minēta </w:t>
            </w:r>
            <w:r w:rsidR="00000000" w:rsidRPr="00000000" w:rsidDel="00000000">
              <w:rPr>
                <w:u w:val="single"/>
                <w:rtl w:val="0"/>
              </w:rPr>
              <w:t xml:space="preserve">ierobežotas radiofrekvenču joslas lietošanas tiesību iznomāšana</w:t>
            </w:r>
            <w:r w:rsidR="00000000" w:rsidRPr="00000000" w:rsidDel="00000000">
              <w:rPr>
                <w:rtl w:val="0"/>
              </w:rPr>
              <w:t xml:space="preserve">, lūdzam precizēt projekta 16. punktā un 38.2. apakšpunktā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 par to, ka noslēguma jautājumos svītrota norma ar pagātnes termiņu, jo tā ir lieka.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 par projekta 40. punktu, jo precizētajā projekta 40. punktā nav paredzēta paziņošana īpašos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22-TA-2498</w:t>
    </w:r>
    <w:r>
      <w:br/>
    </w:r>
    <w:r w:rsidR="00000000" w:rsidRPr="00000000" w:rsidDel="00000000">
      <w:rPr>
        <w:rtl w:val="0"/>
      </w:rPr>
      <w:t xml:space="preserve">Izdrukāts 10.02.2023.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22-TA-2498</w:t>
    </w:r>
    <w:r>
      <w:br/>
    </w:r>
    <w:r w:rsidR="00000000" w:rsidRPr="00000000" w:rsidDel="00000000">
      <w:rPr>
        <w:rtl w:val="0"/>
      </w:rPr>
      <w:t xml:space="preserve">Izdrukāts 10.02.2023.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Atzinumi_22-TA-2498.docx</dc:title>
</cp:coreProperties>
</file>

<file path=docProps/custom.xml><?xml version="1.0" encoding="utf-8"?>
<Properties xmlns="http://schemas.openxmlformats.org/officeDocument/2006/custom-properties" xmlns:vt="http://schemas.openxmlformats.org/officeDocument/2006/docPropsVTypes"/>
</file>