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kopējais attiecināmais finansējums ir 14 398 945 euro (tajā skaitā elastības finansējuma apjoms 2 271 078 euro), tai skaitā Eiropas Reģionālā attīstības fonda (turpmāk – ERAF) finansējums 12 239 103 euro (tajā skaitā elastības finansējuma apjoms 1 930 416 euro) un valsts budžeta līdzfinansējums – 2 159 842 euro (tajā skaitā elastības finansējuma apjoms 340 662 euro).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Lūdzam IZM, atbilstoši piedāvātajām izmaiņām finansējuma sadalījumā starp 1.1.1.1. un 1.1.1.5.pasākumu, iesūtīt atbilstošus precizējumus DPP, lai gūtu pārliecību, ka piedāvātās izmaiņas ir atbalstāmas (t.sk. izmaiņas intervences kodos).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plānotais kopējais attiecināmais finansējums ir 14 398 945 euro (tajā skaitā elastības finansējuma apjoms 2 271 078 euro), tai skaitā Eiropas Reģionālā attīstības fonda (turpmāk – ERAF) finansējums 12 239 103 euro (tajā skaitā elastības finansējuma apjoms 1 930 416 euro) un valsts budžeta līdzfinansējums – 2 159 842 euro (tajā skaitā elastības finansējuma apjoms 340 662 euro). Maksimālais attiecināmā ERAF finansējuma apmērs nepārsniedz 85 procentus no projekta kopējā attiecināmā finansējuma.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precizējams Ministru kabineta noteikumu projekta 4. un 5.punktā ietvertais finansējuma apmērs, ņemot vērā, ka summējot valsts budžeta līdzfinansējuma elastības apjomu 4.punktā un valsts budžeta līdzfinansējumu 5.punktā, tiek iegūts kopējais valsts budžeta līdzfinansējums 2 159 843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nodrošināta Latvijas Viedās specializācijas stratēģijas un tās ietvaros definēto specializācijas jomu padziļinātu analīze, tai skaitā Viedās specializācijas stratēģijas monitoringa ziņojumu sagatavošana 2024. gadā un 2027. gadā – sagatavoti divi monitoringa ziņojumi;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9.6.apakšpunktā noteiktajiem RIS3 monitoringa ziņojuma izstrādes gadiem,  vēršam uzmanību uz Kohēzijas politikas programmas (2021-2027) 25.tabulā ieļauto informāciju attiecībā par tematisko ieguldījumu priekšnosacījumu Nr. 1.1. "Valsts vai reģionālas pārdomātas specializācijas stratēģijas laba pārvaldība", ka "</w:t>
            </w:r>
            <w:r w:rsidR="00000000" w:rsidRPr="00000000" w:rsidDel="00000000">
              <w:rPr>
                <w:i w:val="1"/>
                <w:rtl w:val="0"/>
              </w:rPr>
              <w:t xml:space="preserve">RIS3 progresa ziņojums tiek izstrādāts reizi divos gados un to kā informatīvo ziņojumu iesniegšanai MK sagatavo EM ciešā sadarbībā ar IZM. Monitoringa 1. ziņojums plānots 2023.g. nogalē</w:t>
            </w:r>
            <w:r w:rsidR="00000000" w:rsidRPr="00000000" w:rsidDel="00000000">
              <w:rPr>
                <w:rtl w:val="0"/>
              </w:rPr>
              <w:t xml:space="preserve">." Tāpat lūdzam šo punktu savstarpēji saskaņot arī ar EM kā par RIS3 monitoringa ziņojumu atbildīgajiem.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nodrošināta Latvijas Viedās specializācijas stratēģijas un tās ietvaros definēto specializācijas jomu padziļinātu analīze, tai skaitā Viedās specializācijas stratēģijas monitoringa ziņojumu sagatavošana 2024. gadā un 2027. gadā – sagatavoti divi monitoringa ziņojumi;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atbilstoši Informatīvajā ziņojumā “Par Latvijas inovāciju un tehnoloģiju atbalsta fonda iniciatīvas aktualitātes pārskatīšanu”, kas nosaka nacionālo ceļakarti nacionālā P&amp;A&amp;I pārvaldības modeļa pilnveidošanai, kā arī pasākumus RIS3 pārvaldības pilnveidošanai (apstiprināts MK 2.04.2022.; protokols Nr.20 40§), noteiktajam papildināt, ka tiks nodrošināta Latvijas Viedās specializācijas stratēģijas un tās ietvaros definēto specializācijas jomu padziļināta analīze, tai skaitā Viedās specializācijas stratēģijas monitoringa ziņojuma </w:t>
            </w:r>
            <w:r w:rsidR="00000000" w:rsidRPr="00000000" w:rsidDel="00000000">
              <w:rPr>
                <w:u w:val="single"/>
                <w:rtl w:val="0"/>
              </w:rPr>
              <w:t xml:space="preserve">sadaļas</w:t>
            </w:r>
            <w:r w:rsidR="00000000" w:rsidRPr="00000000" w:rsidDel="00000000">
              <w:rPr>
                <w:rtl w:val="0"/>
              </w:rPr>
              <w:t xml:space="preserve"> sagatavošana </w:t>
            </w:r>
            <w:r w:rsidR="00000000" w:rsidRPr="00000000" w:rsidDel="00000000">
              <w:rPr>
                <w:u w:val="single"/>
                <w:rtl w:val="0"/>
              </w:rPr>
              <w:t xml:space="preserve">par zinātni un pētniecību</w:t>
            </w:r>
            <w:r w:rsidR="00000000" w:rsidRPr="00000000" w:rsidDel="00000000">
              <w:rPr>
                <w:rtl w:val="0"/>
              </w:rPr>
              <w:t xml:space="preserve">, ņemot vērā atbildības sadalījumu RIS3 monitoringa ziņojumu izstrādē starp IZM un 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nodrošināta Pasaules Latviešu zinātnieku kongresa norise Latvijā 2028.gadā, iesaistot par 20 procentiem vairāk dalībnieku nekā 2023.gada Pasaules Latviešu zinātnieku kongresā, tai skaitā par 20 procentiem vairāk ārvalstu dalībnieku no visiem kongresa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koriģēt 9.10.apakšpunktā norādītā rādītāja nosaukuma redakciju vai sadalīt to vairākos rādītājos, ņemot vērā, ka šobrīd nav skaidrs sasniedzamais rezultāts- vai tā ir nodrošināta kongresa norise, dalībnieku skaita pieaugums vai arī ārvalstu dalībnieku skaita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ar sadarbības partneri slēdz sadarbības līgumu atbilstoši normatīvajiem aktiem par kārtību, kādā Eiropas Savienības fondu vadībā iesaistītās institūcijas nodrošina šo fondu ieviešanu 2021.–2027. gada plānošanas periodā, paredzot tajā pušu tiesības, pienākumus un atbildību, un iekļaujot vismaz šādus saturiskās un finansiālās sadarbības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11. punkta izriet, ka sadarbības līgums tiks slēgts vēl pirms projekta iesnieguma iesniegšanas sadarbības iestādē. Ievērojot minēto, lūdzam papildināt noteikumu projekta II nodaļu ar regulējumu, kas paredz, ka tiks slēgts nodomu protokols. Norma par nodomu protokola slēgšanu būtu izsakāma, piemēram, šādā redakcijā (punktu numerāciju precizējot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Ja līdz projekta iesnieguma iesniegšanas dienai nav noslēgts sadarbības līgums, projekta iesniegumam pievieno finansējuma saņēmēja un sadarbības partnera noslēgtu nodomu protokolu. Nodomu protokolā iekļauj vismaz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x.1. apņemšanos sadarboties projekta īstenošanā, tai skaitā noslēgt sadarbības līgumu, ja projekta iesniegums tiks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x.2. norādi par sadarbības partnera veicamajiem pienākumiem šo noteikumu y. punktā minēto atbalstāmo darbību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x.3. kārtību, kādā veicami norēķini ar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x.4. kārtību, kādā sagatavo un iesniedz attiecināmās izmaksas pamatojošos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x.5. kārtību, kādā sadarbības partneris atmaksā neatbilstoši veiktos izdevumus, kurus ir konstatējusi sadarbības iestāde, un iespējami neatbilstoši veiktos izdevumus, kurus ir konstatējis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kārtība, kādā no sadarbības partnera atgūst neatbilstoši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14.3. un 14.4. apakšpunkta redakciju un nodrošināt, lai tie nedublētu Ministru kabineta 2023. gada 13. jūlija noteikumu Nr. 408 "Kārtība, kādā Eiropas Savienības fondu vadībā iesaistītās institūcijas nodrošina šo fondu ieviešanu 2021.–2027. gada plānošanas periodā" 6.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Latvijas Viedās specializācijas stratēģijas un tās ietvaros definēto specializācijas jomu padziļināta analīze un monitorings;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atbilstoši Informatīvajā ziņojumā “Par Latvijas inovāciju un tehnoloģiju atbalsta fonda iniciatīvas aktualitātes pārskatīšanu”, kas nosaka nacionālo ceļakarti nacionālā P&amp;A&amp;I pārvaldības modeļa pilnveidošanai, kā arī pasākumus RIS3 pārvaldības pilnveidošanai (apstiprināts MK 2.04.2022.; protokols Nr.20 40§), noteiktajam papildināt, ka tiks nodrošināta Latvijas Viedās specializācijas stratēģijas un tās ietvaros definēto specializācijas jomu padziļināta analīze </w:t>
            </w:r>
            <w:r w:rsidR="00000000" w:rsidRPr="00000000" w:rsidDel="00000000">
              <w:rPr>
                <w:u w:val="single"/>
                <w:rtl w:val="0"/>
              </w:rPr>
              <w:t xml:space="preserve">zinātnes un pētniecības jomā</w:t>
            </w:r>
            <w:r w:rsidR="00000000" w:rsidRPr="00000000" w:rsidDel="00000000">
              <w:rPr>
                <w:rtl w:val="0"/>
              </w:rPr>
              <w:t xml:space="preserve">, tai skaitā Viedās specializācijas stratēģijas monitoringa ziņojuma </w:t>
            </w:r>
            <w:r w:rsidR="00000000" w:rsidRPr="00000000" w:rsidDel="00000000">
              <w:rPr>
                <w:u w:val="single"/>
                <w:rtl w:val="0"/>
              </w:rPr>
              <w:t xml:space="preserve">sadaļas</w:t>
            </w:r>
            <w:r w:rsidR="00000000" w:rsidRPr="00000000" w:rsidDel="00000000">
              <w:rPr>
                <w:rtl w:val="0"/>
              </w:rPr>
              <w:t xml:space="preserve"> sagatavošana </w:t>
            </w:r>
            <w:r w:rsidR="00000000" w:rsidRPr="00000000" w:rsidDel="00000000">
              <w:rPr>
                <w:u w:val="single"/>
                <w:rtl w:val="0"/>
              </w:rPr>
              <w:t xml:space="preserve">par zinātni un pētniecību</w:t>
            </w:r>
            <w:r w:rsidR="00000000" w:rsidRPr="00000000" w:rsidDel="00000000">
              <w:rPr>
                <w:rtl w:val="0"/>
              </w:rPr>
              <w:t xml:space="preserve">, ņemot vērā atbildības sadalījumu RIS3 monitoringa ziņojumu izstrādē starp IZM un 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finansējuma saņēmējam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projektā papildināt,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nacionālo rādītāju uzraudzības kārtību, ņemot vērā, ka šobrīd nav skaidrs, kā tiks nodrošināta to uzraudzība. Ja uzkrājamā informācija nav saistīta ar Eiropas Savienības fondu izpratnē obligāti uzkrājamo un ziņojamo informāciju, ierosinām, ka atbildību par to uzraudzību uzņemas atbildīgā iestāde, savukārt Centrālā finanšu un līgumu aģentūra to pieņem zināšanai un nepārbauda.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IZM uzmanību uz to, ka anotācijas 1.3.sadaļas apakšsadaļā "Problēmas apraksts", tās 2.-4.lpp, kā arī 2.tabulā (sekmīgākie Latvijas uzņēmumi pēc piešķirtā finansējuma apjoma) iekļautā informācija pēc būtības ir attiecināma uz Kohēzijas politikas programmas (2021-2027) 1.1.1.5.pasākuma “Latvijas pilnvērtīga dalība Apvārsnis Eiropa programmā, tajā skaitā nodrošinot kompleksu atbalsta instrumentu klāstu un sasaisti ar RIS3 specializācijas jomu attīstīšanu”  1.kārtā plānoto atbalstu un starptautiskā snieguma rezultātiem. Lūdzam pārskatīt šī anotācijas sadaļas informāciju, liekot akcentu uz un papildinot to ar informāciju par analītiskās kapacitātes stiprināšanas izaicinājumiem atbilstoši pasākuma ietvaros definētajam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Finanšu ministrijas iebildumu, kas atspoguļots izziņas 39.punktā. Proti, atbilstoši Eiropas Komisijas paziņojuma par Līguma par Eiropas Savienības darbību 107. panta 1. punktā minēto valsts atbalsta jēdzienu (2016/C 262/01) (turpmāk - EK Paziņojums) 2.2.sadaļā norādītajam, Līguma par Eiropas Savienības darbību 107. panta 1. punkts nav piemērojams situācijās, kad valsts rīkojas, “īstenojot valsts varu” vai kad publiskie subjekti rīkojas “publisko iestāžu statusā", subjektu var uzskatīt par tādu, kurš rīkojas, īstenojot valsts varu, ja attiecīgā darbība pieder pie valsts galvenajām funkcijām vai pēc savas būtības, mērķa un tai piemērojamajiem noteikumiem ir saistīta ar šīm funkcijām. Ievērojot minēto, lūdzam precizēt anotācijas 1.3.sadaļā sniegto skaidrojumu, kuros tiesību aktos (norādot konkrētu punktu vai punktus) noteiktas atbilstošas funkcijas Izglītības un zinātnes ministrijai, lai varētu uzskatīt, ka attiecībā uz šo subjektu izpildās EK Paziņojuma 17.punktā noteiktais.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pasākuma virzītāja uzmanību, ka pasākuma ietvaros veiktās aktivitātes ir uzskatāmas par ar saimniecisko darbību nesaistītām tāpēc, ka tās īstenojošās institūcijas aktivitātes veic tām tiesību aktos noteikto funkciju ietvaros. Attiecīgi šis ir pamata arguments un anotācijā tas ir minams kā galvenais, nevis kā papildus apstāklis, kas cita starpā raksturo pasākumu kā ar saimniecisko darbību nesaistītu.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ar detalizētiem aprēķiniem, kas pamato nepieciešamo finansējuma apmēru 2023. un 2024.gadam Izglītības un zinātnes ministrijas kā 1.1.1.1. pasākuma “Zinātnes politikas ieviešana, vadība un kapacitātes stiprināšana” plānotā finansējuma saņēmēja attiecināmo izmaksu segšanai pirms projekta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svītrojama informācija III sadaļas "Tiesību akta projekta ietekme uz valsts budžetu un pašvaldību budžetiem" 2.,5.,7. un 8.kolonnas 4.punktā, vienlaikus norādot finansējumu 5. un 5.1.apakšpunktā, atbilstoši 3. un 3.1.apakšpunktā norādītajam finansējuma apmēram.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Eiropas Savienības kohēzijas politikas programmas 2021.–2027. gadam 1.1.1. specifiskā atbalsta mērķa “Pētniecības un inovāciju kapacitātes stiprināšana un progresīvu tehnoloģiju ieviešana  kopējā P&amp;A sistēmā” 1.1.1.1. pasākuma “Zinātnes politikas ieviešana, vadība un kapacitātes stiprināšana” projektu iesniegumu atlases kārtas īstenošanai līdz projekta apstiprināšanai nepieciešamo finansējumu Izglītības un zinātnes ministrijas kā 1.1.1.1. pasākuma “Zinātnes politikas ieviešana, vadība un kapacitātes stiprināšana”  plānotā finansējuma saņēmēja attiecināmo izmaksu segšanai 2023. gadā līdz 98 500 EUR  un 2024. gadā līdz 184 000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ņemot vērā, ka nosacījumi par finanšu plūsmas nodrošināšanu pirms projekta apstiprināšanas attiecas nevis uz projektu iesniegumu atlases kārtu īstenošanu, bet projekta īstenošanu pirms projekta iesnieguma apstiprināšanas. Turklāt noteikumu projekts neparedz projektu iesniegumu atlases kārtas.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2021.–2027. gadam 1.1. prioritātes “Pētniecība un prasmes” 1.1.1. specifiskā atbalsta mērķa “Pētniecības un inovāciju kapacitātes stiprināšana un progresīvu tehnoloģiju ieviešana kopējā P&amp;A sistēmā” 1.1.1.1. pasākumu “Zinātnes politikas ieviešana, vadība un kapacitātes stiprināšana”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apakšpunktā skaitļus un vārdus "1.1. prioritātes "Pētniecība un prasmes"".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 attīstības fonda (turpmāk – ERAF) projekta (turpmāk – projekts)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II nodaļa paredz prasības finansējuma saņēmējam (piemēram, 14. punktā noteiktais pienākums slēgt sadarbības līgumu), atkārtoti lūdzam papildināt noteikumu projekta 1.4. apakšpunktu un II nodaļas nosaukumu ar norādi uz prasībām arī finansējuma saņēmējam.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skaidri rādītāju sasniegšanas termiņi, ierosinām norādīt konkrētu mēnesi un dienu to sasniegšanas termiņā 9.3. un 9.5. apakšpunktos norādītājiem nacionālajiem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nebūtu koriģējamas nacionālo rādītāju sasniedzamās vērtības, norādot sasniedzamo vērtību kopumā nevis ik gadu (9.7., 9.8.apakšpunktos), nodrošinot skaidrāku rādītāju sasniegšanas izsekojamību.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attīstīts daudzfunkcionāls Latvijas zinātnes portāls </w:t>
            </w:r>
            <w:r w:rsidR="00000000" w:rsidRPr="00000000" w:rsidDel="00000000">
              <w:rPr>
                <w:rtl w:val="0"/>
              </w:rPr>
              <w:t xml:space="preserve">https://researchLatvia.gov.lv</w:t>
            </w:r>
            <w:r w:rsidR="00000000" w:rsidRPr="00000000" w:rsidDel="00000000">
              <w:rPr>
                <w:rtl w:val="0"/>
              </w:rPr>
              <w:t xml:space="preserve"> un paplašināta tā funkcionalitāte – ik gadu nodrošinot portāla lietotāju skaita pieaugumu par 20 procentiem salīdzinājumā ar iepriekšējo gadu;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9.7.apakšpunktā norādītā rādītāja nosaukumu, lai skaidrāk un konkrētāk nolasītos sasniedzamais rezultāts, piemēram, izsakot to: "Latvijas zinātnes portāla https://researchLatvia.gov.lv lietotāju skaita procentuālais pieaugums gadā - 20 procenti salīdzinājumā ar iepriekšējo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atbildīgās iestādes funkcijas pilda Izglītības un zinātnes ministrija (turpmāk – atbildīgā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saīsinājums "atbildīgā iestāde" ir atrunāts tikai noteikumu projekta 10. punktā, taču pirmo reizi pieminēts jau noteikumu projekta 6. punktā, rosinām pārcelt noteikumu projekta 10. punktu aiz 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Finansējuma saņēmējs projektu īsteno sadarbībā ar Latvijas Zinātnes padomi. Finansējuma saņēmējs sadarbības partneri iesaista šo noteikumu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minētās atbalstāmās darbības īstenošanā. Sadarbības līgums tiks slēgts pirms projekta iesnieguma iesniegšanas sadarbības 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norāde, ka projekta iesniedzējs pēc projekta iesnieguma apstiprināšanas ir finansējuma saņēmējs, ietverta noteikumu projekta 12. punktā, kā arī noteikumu projekta 11. punktā minēta sadarbības līguma slēgšana, lūdzam noteikumu projekta 11. punktu pārcelt uz II nodaļu aiz 13.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Projekta iesniedzējs sagatavo projekta iesniegumu atbilstoši projekta iesniegumu atlases nolikumā noteiktajām prasībām un iesniedz to sadarbības iestādē, izmantojot Kohēzijas politikas fondu vadības informācijas sistēmas elektronisko vidi. Projekta iesniedzējs projekta iesniegumam pielikumā pievieno rīcības plānu starpinstitucionālās, starptautiskās un starpsektoru sadarbības stiprināšanai pētniecības kapacitātes attīstībai, tostarp stiprinot Latvijas līdzdalību EPT, kas ietver darbību aprakstu starpinstitucionālās, starptautiskās un starpsektoru sadarbības stiprināšanai pētniecības kapacitātes attīstībai Eiropas Savienības kohēzijas politikas programmas 2021.–2027. gadam plānošanas perioda pasākuma un 1.1.1.5. pasākuma “Latvijas pilnvērtīga dalība Apvārsnis Eiropa programmā, tajā skaitā nodrošinot kompleksu atbalsta instrumentu klāstu un sasaisti ar RIS3 specializācijas jomu attīstīšanu” ietvaros, tādejādi nodrošinot sinerģiju ar abu pasākumu plānotajām darbībā. Minētais plāns tiek īstenots līdz projekta noslēgumam.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13. punkta 2. teikuma redakciju un to pēc nepieciešamības precizēt, ietverot norādi uz 1.1.1. specifiskā atbalsta mērķi “Pētniecības un inovāciju kapacitātes stiprināšana un progresīvu tehnoloģiju ieviešana kopējā P&amp;A sistēmā”, kā arī svītrojot vārdus "pasākuma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informācijas un publicitātes pasākumi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horizontālajos normatīvajos aktos un praksē lietoto jēdzienu "komunikācijas un vizuālās identitātes prasību nodrošināšanas nosacījumi", lūdzam precizēt noteikumu projekta 15.9., 17.11. apakšpunktu un 28.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veselības apdrošināšanas izmaksas un obligāto veselības pārbaužu izmaksas, redzes korekcijas līdzekļu kompensācija, finansējuma saņēmēja  un sadarbības partnera projekta vadības un īstenošanas personālam saskaņā ar normatīvajiem aktiem par valsts un pašvaldību institūciju amatpersonu un darbinieku atlīdzību, kā arī attiecīgās iestādes iekšējiem normatīvajiem aktiem; ja projekta vadības un īstenošanas personāls ir nodarbināts normālu darba laiku, veselības apdrošināšanas izmaksas ir attiecināmas 100 procentu apmērā; ja projekta vadības un īstenošanas personāls ir nodarbināts nepilnu darba laiku, veselības apdrošināšanas izmaksas nosakāmas atbilstoši nepilnā darba laika noslodzei; ja projekta vadības un īstenošanas personāla atlīdzībai piemēro daļlaika attiecināmības principu, veselības apdrošināšanas izmaksas nosakāmas atbilstoši daļlaika noslodzei; veselības apdrošināšanas izmaksas ir attiecināmas tikai periodā, kad projekta vadības un īstenošanas personāls ir nodarbināts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 MK noteikumu 17.2. apakšpunkta redakcijas ir viennozīmīgi secināms, ka veselības apdrošināšanas izmaksas ir attiecināmas no ES fondu finansējuma atbilstoši projektā nostrādātajam periodam (proporcionāli projektā nostrādātajam laika periodam).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transporta pakalpojumu izmaksas (maksa par degvielu, transportlīdzekļu noma, transporta pakalpojumu pirkšana, maksa par sabiedriskā transporta izmantošanu)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un </w:t>
            </w:r>
            <w:r w:rsidR="00000000" w:rsidRPr="00000000" w:rsidDel="00000000">
              <w:rPr>
                <w:rtl w:val="0"/>
              </w:rPr>
              <w:t xml:space="preserve">15.6. </w:t>
            </w:r>
            <w:r w:rsidR="00000000" w:rsidRPr="00000000" w:rsidDel="00000000">
              <w:rPr>
                <w:rtl w:val="0"/>
              </w:rPr>
              <w:t xml:space="preserve">apakšpunktā</w:t>
            </w:r>
            <w:r w:rsidR="00000000" w:rsidRPr="00000000" w:rsidDel="00000000">
              <w:rPr>
                <w:rtl w:val="0"/>
              </w:rPr>
              <w:t xml:space="preserve"> minēto atbalstāmo darbību nodrošināšanai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vienas vienības izmaksu standarta likmes aprēķinā un piemērošanas metodikā 1 km izmaksām nav paredzētas transportlīdzekļa nomas un transporta pakalpojumu pirkšanas izmaksas, lūdzam izteikt to kā atsevišķu punktu pēc reālām izmaksām. Attiecīgi precizējot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Tokareva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 zinātnisko ekspertu  datubāzēs iekļauto ekspertu darba samaksa, kuri veiks </w:t>
            </w:r>
            <w:r w:rsidR="00000000" w:rsidRPr="00000000" w:rsidDel="00000000">
              <w:rPr>
                <w:rtl w:val="0"/>
              </w:rPr>
              <w:t xml:space="preserve">15.7. </w:t>
            </w:r>
            <w:r w:rsidR="00000000" w:rsidRPr="00000000" w:rsidDel="00000000">
              <w:rPr>
                <w:rtl w:val="0"/>
              </w:rPr>
              <w:t xml:space="preserve">apakšpunktā</w:t>
            </w:r>
            <w:r w:rsidR="00000000" w:rsidRPr="00000000" w:rsidDel="00000000">
              <w:rPr>
                <w:rtl w:val="0"/>
              </w:rPr>
              <w:t xml:space="preserve"> minēto projektu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anotāciju papildināt ar skaidrojumu par zinātnisko ekspertu atšķirību no projekta īstenošanas personāla, kas sniegts izziņas 23.punktā.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17.11. projekta informācijas un publicitātes pasākumu izmaksas atbilstoši normatīvajiem aktiem, kas nosaka kārtību, kādā Eiropas Savienības fondu vadībā iesaistītās institūcijas nodrošina šo fondu ieviešanu 2021.–2027. gada plānošanas periodā, šo noteikumu </w:t>
            </w:r>
            <w:r w:rsidR="00000000" w:rsidRPr="00000000" w:rsidDel="00000000">
              <w:rPr>
                <w:rtl w:val="0"/>
              </w:rPr>
              <w:t xml:space="preserve">15.9. </w:t>
            </w:r>
            <w:r w:rsidR="00000000" w:rsidRPr="00000000" w:rsidDel="00000000">
              <w:rPr>
                <w:rtl w:val="0"/>
              </w:rPr>
              <w:t xml:space="preserve">apakšpunktā</w:t>
            </w:r>
            <w:r w:rsidR="00000000" w:rsidRPr="00000000" w:rsidDel="00000000">
              <w:rPr>
                <w:rtl w:val="0"/>
              </w:rPr>
              <w:t xml:space="preserve">  minētās atbalstāmās darbības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17.11. apakšpunktā vārdus un skaitļus "atbilstoši normatīvajiem aktiem, kas nosaka kārtību, kādā Eiropas Savienības fondu vadībā iesaistītās institūcijas nodrošina šo fondu ieviešanu 2021.–2027. gada plānošanas periodā", ņemot vērā, ka attiecīgajos Ministru kabineta 2023. gada 13. jūlija noteikumos Nr. 408 "Kārtība, kādā Eiropas Savienības fondu vadībā iesaistītās institūcijas nodrošina šo fondu ieviešanu 2021.–2027. gada plānošanas periodā" nav noteiktas komunikācijas un vizuālās identitātes prasību nodrošināšanas izmaksas, un atbilstošie normatīvie akti jau pieminēti noteikumu projekta 28.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Pasākuma pārējās attiecināmās izmaksas, izņemot personāla tiešās attiecināmās izmaksas, plāno kā vienu izmaksu pozīciju, piemērojot vienoto likmi 40 procentu apmērā no šo noteikumu 17.1. apakšpunktā minētām tiešajām attiecināmajām personāla izmaksām, saskaņā ar Parlamenta un Padomes Regulas Nr.2021/1060 56.panta 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uz konkrētiem MKN punktiem, kas ir domāts ar “pārējām” izmaksām, atbilstoši anotācijā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Znotiņa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projekta īstenošanas laikā atbildīgā iestāde vai vadošā iestāde izstrādā vienkāršoto izmaksu metodiku kādām no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minētajām izmaksām, tām piemēro atbildīgās iestādes vai vadošās iestādes izstrādāto metodiku atbilstoši metodikā noteiktajam spēkā stāšanās laikam un nosacījumiem.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ņemot vērā, ka šajā MK noteikumu projektā vienkāršoto izmaksu metodika izstrādājama tikai šo noteikumu 17.1. apakšpunktā minētajām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Pasākuma ietvaros finansējuma saņēmējam izmaksas ir attiecināmas, ja tās atbilst šajos noteikumos minētajām izmaksu pozīcijām un ir radušās no šo noteikumu spēkā stāšanās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iespējamo demarkāciju ar projektu Nr.1.1.1.5/17/I/002 gadījumā, ja šie MKN stāsies spēkā ātrāk par 2023.gada 30.novembri.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Znotiņa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Projekta īstenošanas gaitā radušos izmaksu sadārdzinājumu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 punktu, norādot, no kādiem līdzekļiem plānots segt sadārdzinājumu, vai svītrot attiecīgo punktu. Vēršam uzmanību, ka finansējuma saņēmējs (Izglītības un zinātnes ministrija) ir valsts budžeta iestāde, kurai nav savu līdzekļu.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vismaz vienu reizi sešos mēnešos projekta uzraudzības padomei iesniedz ziņojumu par projekta īstenošanas progresu, tai skaitā par īstenotajiem mērķa grupas informēšanas pasākumiem,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rādītāju sasniegtajām vērtībām, par veiktajiem un nepieciešamajiem uzlabojumiem starpinstitucionālās, starptautiskās un starpsektoru sadarbības stiprināšanai pētniecības kapacitātes attīstībai, tostarp stiprinot Latvijas līdzdalību EPT, un prezentē projekta rezultātus projekta uzraudzības padomē. Pirmajā projekta uzraudzības padomes sēdē finansējuma saņēmējs prezentē projekta kvalitātes vadības sistēmu, tostarp par atgriezeniskās saites sniegšanu un nepieciešamo izmaiņu ieviešanu, balstoties uz  kvalitātes vadības monitoringa rezultātiem. Projekta uzraudzības padome var uzdot finansējuma saņēmējam veikt izmaiņas projekta īstenošanas gaitā, ja konstatēti riski projekta ieviešanas kvalitātē.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33. vai 31.punktu, jo šobrīd šie punkti ir vienādi un nav skaidrs, vai jāsniedz ziņojums reizi sešos mēnešos vai reizi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Znotiņa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ir uzskaitītas Latvijas Zinātnes padomes kā sadarbības partnera attiecināmās izmaksas. Aicinām izvērtēt un identificēt attiecīgās izmaksas sadarbības partnerim arī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sadaļas apakšsadaļu "Risinājuma apraksts" atbilstoši noteikumu projekta 28. punktā minētajam, norādot pienākumu nodrošināt komunikācijas un vizuālās identitātes prasības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normatīvajiem aktiem, kas nosaka kārtību, kādā Eiropas Savienības fondu vadībā iesaistītās institūcijas nodrošina šo fondu ieviešanu 2021.–2027.gada plānošanas periodā, kā arī ievērojot Eiropas Savienības fondu 2021.–2027. gada plānošanas perioda un Atveseļošanas fonda komunikācijas un dizaina vadlīnijas.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apakšsadaļā "Risinājuma apraksts" norādīt pilno Kohēzijas politikas fondu vadības informācijas sistēmas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interešu konflikta riska neesamības nodrošināšanu kontekstā ar noteikumu projekta 34. 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anotācijā norādīto informāciju par pasākumam pieejamo kopējo attiecināmo finansējumu, ņemot vērā to, ka ir norādīts plānotais nevis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 pasākumam </w:t>
            </w:r>
            <w:r w:rsidR="00000000" w:rsidRPr="00000000" w:rsidDel="00000000">
              <w:rPr>
                <w:b w:val="1"/>
                <w:rtl w:val="0"/>
              </w:rPr>
              <w:t xml:space="preserve">plānotais </w:t>
            </w:r>
            <w:r w:rsidR="00000000" w:rsidRPr="00000000" w:rsidDel="00000000">
              <w:rPr>
                <w:rtl w:val="0"/>
              </w:rPr>
              <w:t xml:space="preserve">kopējais attiecināmais finansējums ir 14 398 945 euro (tajā skaitā elastības finansējuma apjoms 2 271 078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vai papildināt informāciju anotācijā par noteikumu projekta 9.10.apakšpunktā norādītā rādītāja bāzes vērtību, ņemot vērā to, ka nav skaidrs, vai tā attiecas uz visiem vai ārvalstu kongresa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Pasaules Latviešu zinātnieku kongresa norise Latvijā 2028.gadā, iesaistot par 20 procentiem vairāk dalībnieku nekā 2023.gada Pasaules Latviešu zinātnieku kongresā, tai skaitā par 20 procentiem vairāk ārvalstu dalībnieku no visiem kongresa dalībniekiem </w:t>
            </w:r>
            <w:r w:rsidR="00000000" w:rsidRPr="00000000" w:rsidDel="00000000">
              <w:rPr>
                <w:b w:val="1"/>
                <w:rtl w:val="0"/>
              </w:rPr>
              <w:t xml:space="preserve">(bāzes vērtība – 100)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Rasa Teivāne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redakcionāli precizēt rindkopu, kurā ir atsauce par 40 % vienotās likmes piemērošanu, proti, aicinām precizēt, ka "1.1.1.1. pasākumā paredzēts, ka pārējās attiecināmās izmaksas, izņemot tiešās attiecināmās personāla izmaksas, tiek segtas, piemērojot vienoto likmi 40 % apmērā no tiešajām attiecināmajām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anotācijas 5.4. sadaļas 1. tabulā ietverto informāciju, attiecībā uz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piemērošanu norādot visu 50. pantu vai vēl citus attiecīgā panta punktus un apakšpunktus, ņemot vērā, ka piemērojams ne tikai 50. panta 1. punkta "d" apakšpunktā ietvertais pienākums.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protokollēmuma projektu ar uzdevumu un termiņu Izglītības un ministrijai 1.1.1.1. pasākuma ietvaros vērtēt vienkāršoto izmaksu metodikas izstrādes iespējas projekta personāla izmaksām projektu īstenošanas stadijā. Finanšu ministrijas ieskatā ir būtiski vērtēt iespējas pēc iespējas plašāk piemērot vienkāršoto izmaksu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31.08.2023. 16.49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31.08.2023. 16.49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Atzinumi_23-TA-818.docx</dc:title>
</cp:coreProperties>
</file>

<file path=docProps/custom.xml><?xml version="1.0" encoding="utf-8"?>
<Properties xmlns="http://schemas.openxmlformats.org/officeDocument/2006/custom-properties" xmlns:vt="http://schemas.openxmlformats.org/officeDocument/2006/docPropsVTypes"/>
</file>