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robežsardzē izmantojamo tehnisko līdzekļu veidiem un šo tehnisko līdzekļu izmantošanu, kā arī tehnisko līdzekļu izmantošanas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skar personas datu apstrādi netieši, lūdzam papildināt anotāciju ar šādu tekstu: “Projekts personas datu apstrādi skar netieši. Proti, ar projektu tiek noteikti, kādi tehniskie līdzekļi vispār var tikt izmantoti konkrētu Valsts robežsardzes funkciju un uzdevumu veikšanai, īpaši neizdalot, vai ar tiem tiks iegūti un apstrādāti personas dati vai nē. Nenoliedzami, ņemot vērā to, ka atsevišķu tehnisko līdzekļu izmantošanas gadījumā tiks apstrādāti personas dati, šādai apstrādei ir jāatbilst personas datu apstrādi regulējošo normatīvo aktu prasībām, taču konkrētā datu apstrāde tiek regulēta nevis projektā, bet citos normatīvajos aktos, kuros ir noteikts konkrētais personas datu apstrādes nolūks, apstrādājamo personas datu apjoms, kā arī vērtēts tiesību uz personas datu aizsardzību samērīgums iepretim sasniedzamajam mērķim, kā arī atbilstība jo īpaši godprātības, nolūka ierobežojuma, minimizēšanas un glabāšanas ierobežojuma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17.07.2025.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17.07.2025.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Atzinumi_24-TA-2953.docx</dc:title>
</cp:coreProperties>
</file>

<file path=docProps/custom.xml><?xml version="1.0" encoding="utf-8"?>
<Properties xmlns="http://schemas.openxmlformats.org/officeDocument/2006/custom-properties" xmlns:vt="http://schemas.openxmlformats.org/officeDocument/2006/docPropsVTypes"/>
</file>