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Dānijas Karalistes Aizsardzības ministrijas saprašanās memorandu par Daudznacionālā divīzijas štāba “Ziemeļi” darbības pamatprincipiem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Starptautiskā līguma projekts svešvalodā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Līgums_angliski_HQ_ MND_N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saprašanās memoranda 1. panta 1.4. daļā minēto, ka "šī FN MOU noteikumi nerada un nav paredzēti, lai radītu nekādas juridiski saistošas tiesības un/vai pienākumus saskaņā ar starptautiskajām tiesībām un/vai katra Dalībnieka attiecīgajiem nacionālajiem tiesību aktiem (..)", aicinām svītrot minētajā daļā ietverto norādi, ka konflikta gadījumā starptautiskās tiesības un nacionālie tiesību akti būs noteicošie, jo tā ir lieka.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Starptautiskā līguma projekts svešvalodā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Līgums_angliski_HQ_ MND_N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juridiskās tehnikas prasībām lūdzam saprašanās memoranda E pielikumā atsauci uz NATO drošības politiku aizstāt ar tiesību aktu (starptautisko līgumu), uz kā pamata attiecīgie NATO dokumenti tiek izdoti (piem., Ziemeļatlantijas līgumu).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17.09.2025.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17.09.2025.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