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gandrīz nulles enerģijas ēkas prasībām. Šā panta prasības piemēro arī šā likuma 3. panta otrās daļas 2., 3. un 9.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iepriekš izteiktos iebildumus, jo katru  gadu atjaunot vismaz trīs procentus no attiecīgās  pašvaldības līmenī noteiktās šā panta otrajā daļā minēto ēku kopējās lietderīgās iekštelpu platības, nav iespejams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10.07.2026.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10.07.2026.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