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“Cita informācija” ar informāciju par ierosināto grozījumu ietekmi un nepieciešamajiem grozījumiem vienošanās par projekta īstenošanu. Tāpat lūdzam papildināt anotāciju ar informāciju, vai grozījumu projektā rosinātās izmaiņas vērtējamas kā būtiskas kontekstā ar Eiropas Parlamenta un Padomes 2013.gada 17.decembra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(Anna Pukse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29.06.2023.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29.06.2023.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Atzinumi_23-TA-1422.docx</dc:title>
</cp:coreProperties>
</file>

<file path=docProps/custom.xml><?xml version="1.0" encoding="utf-8"?>
<Properties xmlns="http://schemas.openxmlformats.org/officeDocument/2006/custom-properties" xmlns:vt="http://schemas.openxmlformats.org/officeDocument/2006/docPropsVTypes"/>
</file>