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Alkohola, narkotisko, psihotropo un citu apreibinošo vielu lietošanas pārbaudes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izvērtēt, vai Ceļu satiksmes likuma 43.</w:t>
            </w:r>
            <w:r w:rsidR="00000000" w:rsidRPr="00000000" w:rsidDel="00000000">
              <w:rPr>
                <w:vertAlign w:val="superscript"/>
                <w:rtl w:val="0"/>
              </w:rPr>
              <w:t xml:space="preserve">5</w:t>
            </w:r>
            <w:r w:rsidR="00000000" w:rsidRPr="00000000" w:rsidDel="00000000">
              <w:rPr>
                <w:rtl w:val="0"/>
              </w:rPr>
              <w:t xml:space="preserve"> pantā esošais regulējums atbilst administratīvās atbildības sistēmai un pilnvarojumi Ministru kabinetam pašreizējā apjomā ir nepieciešami vai pieļaujami un satiksmes ministram līdz 2026.gada 1. jūnijam iesniegt tos noteiktajā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ceļu satiksmes dalībnieku kontrole ir Iekšlietu ministrijas institūciju (Valsts policija un Robežsardze) kompetencē, protokollēmuma 3. punkta izpilde būtu jāuzdod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nodaļā ietvertais regulējums nav attiecināms uz transportlīdzekļa vadītāju, kurš ir cietis ceļu satiksmes negadījumā un nogādāts ārstniecības iestādē medicīniskās palīdzības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2. nodaļā ietvertais regulējums nav attiecināms uz transportlīdzekļa vadītāju, kurš ir cietis ceļu satiksmes negadījumā un nogādāts ārstniecības iestādē medicīniskās palīdzības saņemšanai, nav saprotams, kā šādā gadījumā personai konstatē iespējamo alkohola, narkotisko, psihotropo vai citu apreibinošo vielu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 nodaļā ietvertais regulējums nav attiecināms uz transportlīdzekļa vadītāju, kurš ir cietis ceļu satiksmes negadījumā un nogādāts ārstniecības iestādē medicīniskās palīdzības saņemšanai. Šādos gadījumos medicīnisko pārbaudi veic ārstniecības iestāde saskaņā ar šo noteikumu 21.3.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14.01.2026.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