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19. novembra noteikumos Nr. 537 "Eiropas Ekonomikas zonas finanšu instrumenta un Norvēģijas finanšu instrumenta 2014.–2021. gada perioda programmas "Pētniecība un izglītība" aktivitātes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vienlaikus ar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stāšanos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Nr.108 "Normatīvo aktu projektu sagatavošanas noteikumi" 156. punktu, ja nepieciešams, noteikumu projekta pēdējā punktā, bet, ja notei­kumu projekts iedalīts nodaļās, nodaļā ar nosaukumu “Noslēguma jautājumi” (“Noslēguma jautājums”) raksta norādi uz noteikumu spēkā stāšanās laiku. Norādē secīgi raksta vārdus “noteikumi stājas spēkā” un noteikumu spēkā stāšanās </w:t>
            </w:r>
            <w:r w:rsidR="00000000" w:rsidRPr="00000000" w:rsidDel="00000000">
              <w:rPr>
                <w:u w:val="single"/>
                <w:rtl w:val="0"/>
              </w:rPr>
              <w:t xml:space="preserve">datumu</w:t>
            </w:r>
            <w:r w:rsidR="00000000" w:rsidRPr="00000000" w:rsidDel="00000000">
              <w:rPr>
                <w:rtl w:val="0"/>
              </w:rPr>
              <w:t xml:space="preserve"> attiecīgā locījumā. Attiecīgi tāds noteikumu spēkā stāšanās noteikums, kāds paredzēts projekta 2. punktā, Ministru kabineta noteikumos nav pieļaujams un lūdzam, ja nepieciešams nodrošināt, ka abi saistītie projekti stājas spēkā vienā datumā, nodrošināt vienlaicīgu to virzību un ietvert abos projektos vienādu spēkā stāšanās </w:t>
            </w:r>
            <w:r w:rsidR="00000000" w:rsidRPr="00000000" w:rsidDel="00000000">
              <w:rPr>
                <w:u w:val="single"/>
                <w:rtl w:val="0"/>
              </w:rPr>
              <w:t xml:space="preserve">datumu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18.08.2023.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18.08.2023.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Atzinumi_23-TA-1169.docx</dc:title>
</cp:coreProperties>
</file>

<file path=docProps/custom.xml><?xml version="1.0" encoding="utf-8"?>
<Properties xmlns="http://schemas.openxmlformats.org/officeDocument/2006/custom-properties" xmlns:vt="http://schemas.openxmlformats.org/officeDocument/2006/docPropsVTypes"/>
</file>