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pārkāpuma procesu par šā likuma 15. panta minētajiem pārkāpumiem veic Patērētāju tiesību aizsardzības centrs vai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pārskatīt, vai nepieciešams minēt Veselības inspekciju projekta 16.pantā. Veselības inspekcija veic administratīvā pārkāpuma procesu attiecībā uz neatbilstošiem pakalpojumiem saskaņā ar Epidemioloģiskās drošības likumu. Savukārt visa kompetence, kas Veselības inspekcijai bija noteikta saskaņā ar Preču un pakalpojumu drošuma likumu, šobrīd ir iekļauta projektā "Grozījumi likumā "Par atbilstības novērtēšanu"". Veselības inspekcijas kompetences jomā šobrīd nav noteikumu, kas būtu izstrādāti (vai izstrādājami) saskaņā ar jauno Pakalpojumu drošuma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Polukarova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