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9.</w:t>
            </w:r>
            <w:r w:rsidR="00000000" w:rsidRPr="00000000" w:rsidDel="00000000">
              <w:rPr>
                <w:vertAlign w:val="superscript"/>
                <w:rtl w:val="0"/>
              </w:rPr>
              <w:t xml:space="preserve">11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apmaiņai par precēm, kas rada nopietnu risku, tirgus uzraudzības iestādes izmanto regulas Nr. 2023/988 25. pantā minēto ātrās brīdināšanas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regulā Nr.2023/988 noteiktās vienotā sadarbības biroja un ātrās brīdināšanas sistēmas nacionālā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tirgus uzraudzības iestādes informē Patērētāju tiesību aizsardzības centru par veiktajiem pasākumiem, kas ierobežo vai liedz preču laišanu apgrozībā, un kārtību, kādā Patērētāju tiesību aizsardzības centrs saņemto informāciju nosūta Eiropas Komisijai un rīkojas ar informāciju, kas saņemta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vienotā sadarbības biroja funkcijas pirmšķietami nav noteiktas Eiropas Parlamenta un Padomes Regulā (ES) 2023/988 par ražojumu vispārēju drošumu, ar ko groza Eiropas Parlamenta un Padomes Regulu (ES) Nr. 1025.1025/2012 un Eiropas Parlamenta un Padomes Direktīvu (ES) 2020/1828 un atceļ Eiropas Parlamenta un Padomes Direktīvu 2001/95/EK un Padomes Direktīvu 87/357/EEK, bet gan Eiropas Parlamenta un Padomes 2017. gada 12. decembra Regulā (ES) 2017/2394 par sadarbību starp valstu iestādēm, kas atbild par tiesību aktu izpildi patērētāju tiesību aizsardzības jomā, un ar ko atceļ Regulu (EK) Nr. 2006/2004 (turpmāk - regula Nr. 2017/2394), tādēļ lūdzam nepieciešamības gadījumā atbilstoši precizēt (papildināt) likumprojekta 5. pantu, attiecīgā gadījumā arī skaidrojot regulas Nr. 2017/2394 prasību ieviešanu likumprojekta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veiktajiem grozījumiem likuma "Par atbilstības novērtēšanu" 19. panta sestajā daļā, Tieslietu ministrija secina, ka tās š.g. 25. septembra atzinumā norādītais </w:t>
            </w:r>
            <w:r w:rsidR="00000000" w:rsidRPr="00000000" w:rsidDel="00000000">
              <w:rPr>
                <w:b w:val="1"/>
                <w:rtl w:val="0"/>
              </w:rPr>
              <w:t xml:space="preserve">iebildums tomēr nav ņemts vērā</w:t>
            </w:r>
            <w:r w:rsidR="00000000" w:rsidRPr="00000000" w:rsidDel="00000000">
              <w:rPr>
                <w:rtl w:val="0"/>
              </w:rPr>
              <w:t xml:space="preserve">, tādēļ uzturam minēto iebildumu un atkārtoti lūdzam precizēt administratīvo pārkāpumu formulējumu,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visus nodaļā noteiktos administratīvos pārkāpumus, skaidri nosakot administratīvā pārkāpuma pazīmes. Proti, par kādu darbību vai bezdarbību personai var tikt piemērota administratīvā atbildība. Jebkurai personai, izlasot administratīvo pārkāpumu, būtu jāspēj saprast, par kādu tieši darbību vai bezdarbību tai var tikt piemērotas sodoša rakstura sankcijas. Šobrīd likumprojektā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pārkāpumu noteikt, neizmantojot atsauces. Ir pieļaujamas informatīvas atsauces uz regulām, bet pārkāpuma pazīmēm jābūt skaidrām arī tad, ja šo atsauci izņemtu.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pieļaujams un atbalstāms administratīvais pārkāpums, kas satur, piemēram, tādu pārkāpuma pazīmi  kā "par normatīvajos aktos noteikto pienākumu nepildīšanu" vai "preču aprites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normas ir blanketas normas, jo tās ietver norādi uz citos normatīvos aktos iekļautajām tiesību normām (priekšrakstiem) (sk. N</w:t>
            </w:r>
            <w:r w:rsidR="00000000" w:rsidRPr="00000000" w:rsidDel="00000000">
              <w:rPr>
                <w:i w:val="1"/>
                <w:rtl w:val="0"/>
              </w:rPr>
              <w:t xml:space="preserve">ormatīvo aktu projektu izstrādes rokasgrāmata. Pieejama: https://tai.mk.gov.lv/book/1/chapter/81</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Ievērojot minēto, likumprojektā ietvertajam pārkāpuma aprakstam, lai arī ļoti vispārīgi, bet ir jāsatur pārkāpuma pazīmes.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(lat. val. – </w:t>
            </w:r>
            <w:r w:rsidR="00000000" w:rsidRPr="00000000" w:rsidDel="00000000">
              <w:rPr>
                <w:i w:val="1"/>
                <w:rtl w:val="0"/>
              </w:rPr>
              <w:t xml:space="preserve">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jāievēro, ka pārkāpuma saturs ir jānoteic formālajam likumdevējam. Nav pieļaujama situācija, ka pārkāpuma saturu būtībā noteiktu Ministru kabinets vai iestāde. Līdz ar to likumā jābūt precīzi un izsmeļoši noteiktām pārkāpuma pazīmēm, lai persona varētu saprast pārkāpuma būtību un paredzēt vismaz sodīšanas risku. Ja pārkāpumu konkretizē Ministru kabineta noteikumi, tad likumā jābūt ārkārtīgi precīzam pilnvarojumam (kādus jautājumus Ministru kabinets var regulēt, kādi kritēriji, vadlīnijas u. tml. tam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būtiskas nozīmes. Tāpat nav nozīmes tam, ja iepriekš izstrādājot normatīvos aktus, pārkāpumi tika aprakstīti vispārīgi un neprecīzi.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ir pienākums pastāvīgi pārbaudīt un pilnveidot normatīvo regulējumu (sal. sk. Valsts pārvaldes iekārtas likuma 10. panta 10. daļu).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iekšējās kontroles procesu nenodrošināšanu, kas rada sistemātiskas neatbilstības, laižot tirgū un piedāvājot preci, piemēro naudas sodu fiziskajai personai no četrdesmit līdz četrsimt naudas soda vienībām, bet juridiskajai personai — no simt četrdesmit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termina  "sistemātiskas" nozīmi likumprojekta izpratnē. Vēršam uzmanību, ka minētais termins nav ietverts likumā "Par atbilstības novērtēšanu" un nav paskaidrots likumprojekta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pirmajā daļā izslēgt vārdus “otrajā” un vārdus "un trešajā" aizstāt ar vārdiem "trešajā, sestajā, septītajā, astotajā, devītajā un desmitajā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9. pantā pirmais teikums atkārtojas ( ir iekopēts) divas reizes, tādēļ lūdzam novērst tehnisko neprecizitāti, atbilstoši precizējot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anotāciju, secinājam, ka Tieslietu ministrijas š.g. 25. septembra atzinumā minētais iebildums attiecībā uz anotācijas precizēšanu tikai daļēji ņemts vērā. Ievērojot minēto, lūdzam anotācijā par katru pārkāpumu iekļaut pilnvērtīgu administratīvās atbildības nepieciešamības un pieļaujamības kritēriju izvērtējumu, pārkāpuma satura skaidrojumu (tostarp norādītas korespondējošās normas), kā arī soda veida un apmēra izvēles pamatojumu. Papildus norādām, ka anotācijā vispār nav norādīts pamatojums likuma papildināšanai ar 19. panta vienpadsmito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19. punktā ietverto iebildumu lūdzam izvērtēt, vai likuma "Par atbilstības novērtēšanu" 18. panta otrā daļa nav jāpapildina ar atsauci uz Eiropas Parlamenta un Padomes 2023. gada 10. maija Regulas (ES) 2023/988 par ražojumu vispārēju drošumu, ar ko groza Eiropas Parlamenta un Padomes Regulu (ES) Nr. 1025/2012 un Eiropas Parlamenta un Padomes Direktīvu (ES) 2020/1828 un atceļ Eiropas Parlamenta un Padomes Direktīvu 2001/95/EK un Padomes Direktīvu 87/357/EEK  17. panta 2. punktu, ievērojot, ka dalībvalstīm saskaņā ar Eiropas Parlamenta un Padomes 2019. gada 19. marta Regulas (ES) 2019/515 par citā dalībvalstī likumīgi tirgotu preču savstarpēju atzīšanu un Regulas (EK) Nr. 764/2008 atcelšanu 9. pantu ir pienākums nodrošināt, ka produktu informācijas punktiem ir </w:t>
            </w:r>
            <w:r w:rsidR="00000000" w:rsidRPr="00000000" w:rsidDel="00000000">
              <w:rPr>
                <w:u w:val="single"/>
                <w:rtl w:val="0"/>
              </w:rPr>
              <w:t xml:space="preserve">pietiekamas pilnvaras savu uzdevumu izpildei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iespējas precīzāk aprakstīt ietekmi uz iestāžu veicamo uzdevumu apjomu. Norādām, ka anotācijā ietvertais apraksts ir ļoti vispārīgs.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 sadaļā "Risinājuma apraksts" iekļauto informāciju, terminu "administratīvā procesa ietekmes līdzekļi" aizstājot ar terminu "piespiedu izpildes līdzekļi" atbilstoši Administratīvā procesa likumā iekļautajam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6. punktā ietverto iebildumu lūdzam papildināt likumprojekta anotācijas 5.4. sadaļas 1. tabulu ar informāciju par attiecīgās regulas 37. panta ieviešanu Patērētāju tiesību aizsardzības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12.11.2024.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12.11.2024.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