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24-TA-749: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21. novembra noteikumos Nr. 714 "Kārtība, kādā notiek preču iznīcināšana vai atteikšanās no precēm par labu valstij"</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5. sadaļu un veikt tajā nepieciešamos precizējumus, ņemot vērā, ka, atbilstoši projekta redakcijai ar 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13. punktu ieviests ne tikai Komisijas 2015. gada 28. jūlija Deleģētās regulas (ES) 2015/2446, ar ko papildina Eiropas Parlamenta un Padomes Regulu (ES) Nr. 952/2013 attiecībā uz sīki izstrādātiem noteikumiem, kuri attiecas uz dažiem Savienības Muitas kodeksa noteikumiem (turpmāk – Regula Nr. 2015/2446) 175. pants, bet arī tās 71-06.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 punktu ieviests Eiropas Parlamenta un Padomes 2013. gada 9. oktobra Regulas (ES) Nr. 952/2013, ar ko izveido Savienības Muitas kodeksu (turpmāk – regula Nr. 952/2013) 198. panta 1. punkta "b" apakšpunkta "iv"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7. punktu ieviests Regulas Nr. 952/2013 197.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atbilstoši anotācijas 1.3. apakšsadaļas skaidrojumiem: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2. punkts (Ministru kabineta 2018. gada 21. novembra noteikumu Nr. 714 "Kārtība, kādā notiek preču iznīcināšana vai atteikšanās no precēm par labu valstij"  (turpmāk - noteikumu Nr. 714) 3.2. apakšpunkts) ievieš Regulas Nr. 952/2013 197.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4. punkts (noteikumu Nr. 714 4.7. apakšpunkts) ievieš Regulas Nr. 952/2013 163.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izvērtēt projektā veiktās Eiropas Savienības tiesību normu ieviešanas korektumu un pilnīgi, precīzi to atspoguļot arī anotācijas 5. sadaļā vai precizēt anotācijas 1.3. apakšsadaļas skaidrojumus.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anotācijas 5.1. apakšsadaļas Regulas Nr.2015/2446 apraksta daļa lieki dublē anotācijas 5.4. apakšsadaļas 1. tabulas rīcības brīvības sadaļu. Papildus, iesakām pārskatīt pašreizējo rīcības brīvības sadaļas skaidrojumu un papildināt arī ar citās Eiropas Savienības tiesību normās paredzēto rīcības brīvību izmantošanu, piemēram, Regulas Nr. 952/2013 197. pants nosaka, ka "</w:t>
            </w:r>
            <w:r w:rsidR="00000000" w:rsidRPr="00000000" w:rsidDel="00000000">
              <w:rPr>
                <w:i w:val="1"/>
                <w:rtl w:val="0"/>
              </w:rPr>
              <w:t xml:space="preserve">Ja muitas dienestiem ir pamatoti iemesli tā rīkoties, </w:t>
            </w:r>
            <w:r w:rsidR="00000000" w:rsidRPr="00000000" w:rsidDel="00000000">
              <w:rPr>
                <w:i w:val="1"/>
                <w:u w:val="single"/>
                <w:rtl w:val="0"/>
              </w:rPr>
              <w:t xml:space="preserve">tie var</w:t>
            </w:r>
            <w:r w:rsidR="00000000" w:rsidRPr="00000000" w:rsidDel="00000000">
              <w:rPr>
                <w:i w:val="1"/>
                <w:rtl w:val="0"/>
              </w:rPr>
              <w:t xml:space="preserve"> pieprasīt, lai muitai uzrādītās preces tiktu iznīcinātas, un muitas dienesti par to attiecīgi informē preču valdītāju. Iznīcināšanas izmaksas sedz preču valdītājs</w:t>
            </w:r>
            <w:r w:rsidR="00000000" w:rsidRPr="00000000" w:rsidDel="00000000">
              <w:rPr>
                <w:rtl w:val="0"/>
              </w:rPr>
              <w:t xml:space="preserve">". Lūdzam ievērot, ka rīcības brīvības sadaļā norāda: "Kā ir izmantota ES tiesību aktā paredzētā rīcības brīvība dalībvalstij pārņemt vai ieviest noteiktas ES tiesību akta normas? </w:t>
            </w:r>
            <w:r w:rsidR="00000000" w:rsidRPr="00000000" w:rsidDel="00000000">
              <w:rPr>
                <w:u w:val="single"/>
                <w:rtl w:val="0"/>
              </w:rPr>
              <w:t xml:space="preserve">Kādēļ?</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Ārpussavienības preces, par kurām procesa virzītājs kriminālprocesā ir pieņēmis lēmumu par to iznīcināšanu, vai par kuru iznīcināšanu lēmumu ir pieņēmusi Nodrošinājuma valsts aģentūra, iznīcina, pamatojoties uz minēto lēmumu saskaņā ar rīcību ar lietiskajiem pierādījumiem reglamentējošiem normatīvajiem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Ministru kabineta noteikumu projekta "Grozījumi Ministru kabineta 2018. gada 21. novembra noteikumos Nr. 714 "Kārtība, kādā notiek preču iznīcināšana vai atteikšanās no precēm par labu valstij"" (turpmāk – projekts) 1. punktu, ņemot vērā to, ka saskaņā ar Muitas likuma 6. panta 16. un 17. punktu Ministru kabinets nav pilnvarots noteikt lietisko pierādījumu iznīcināšanas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5. sadaļu, ņemot vērā, ka atbilstoši noteikumu Nr. 714 sākotnējai anotācijai noteikumu Nr. 714 punktos, kurus paredz grozīt projektā, iepriekš ieviests arī, piemēram, Regulas Nr. 952/2013 22. panta 3. punkts. Attiecīgi lūdzam pārskatīt projektu un izvērtēt, vai uz to attiecināmās, anotācijā nenorādītās (iepriekš ieviestās) Eiropas Savienības tiesību normas joprojām ir attiecināmas. Šādā gadījumā iesakām papildināt anotācijas 5. sadaļu ar norādēm uz Eiropas Savienības tiesību normām un/vai norādīt, ka līdz šim pārņemtās/ieviestās, no Eiropas Savienības tiesību normām  izrietošās prasības netiek mainītas, ietekmētas.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atsauces uz Eiropas Savienības tiesību aktiem noformēt atbilstoši Ministru kabineta 2009. gada 3. februāra noteikumiem Nr. 108 „Normatīvo aktu projektu sagatavošanas noteikumi” 4. nodaļai. Atsaucē uz Eiropas Savienības tiesību aktu norādot šādu informāciju: institūcija (Komisija, Padome, Eiropas Parlaments), kas izdevusi attiecīgo tiesību aktu; tiesību akta pieņemšanas datums; veids (regula, direktīva, lēmums); numurs un nosaukums atbilstoši tiesību akta nosaukumam latviešu valodā EUR-Lex datu 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juridiskās tehnikas prasības arī attiecībā uz to, ka, nepieciešamības gadījumā, saīsinājumu piesaka pirmajā vietā juridiskajā tekstā, kur lietots attiecīgais normatīvā akta nosaukums, tādā veidā izvairoties no vispārinātām atsaucēm uz normatīvajiem aktiem,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2015. gada 28. jūlija Deleģētā regula (ES) 2015/2446, ar ko papildina Eiropas Parlamenta un Padomes Regulu (ES) Nr. 952/2013 attiecībā uz sīki izstrādātiem noteikumiem, kuri attiecas uz dažiem Savienības Muitas kodeksa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24-TA-749</w:t>
    </w:r>
    <w:r>
      <w:br/>
    </w:r>
    <w:r w:rsidR="00000000" w:rsidRPr="00000000" w:rsidDel="00000000">
      <w:rPr>
        <w:rtl w:val="0"/>
      </w:rPr>
      <w:t xml:space="preserve">Izdrukāts 21.06.2024. 17.47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24-TA-749</w:t>
    </w:r>
    <w:r>
      <w:br/>
    </w:r>
    <w:r w:rsidR="00000000" w:rsidRPr="00000000" w:rsidDel="00000000">
      <w:rPr>
        <w:rtl w:val="0"/>
      </w:rPr>
      <w:t xml:space="preserve">Izdrukāts 21.06.2024. 17.47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Atzinumi_24-TA-749.docx</dc:title>
</cp:coreProperties>
</file>

<file path=docProps/custom.xml><?xml version="1.0" encoding="utf-8"?>
<Properties xmlns="http://schemas.openxmlformats.org/officeDocument/2006/custom-properties" xmlns:vt="http://schemas.openxmlformats.org/officeDocument/2006/docPropsVTypes"/>
</file>