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un Eiropas Savienības atbalsta piešķiršanu biškopībai, tā administrēšanas un uzraudzības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likums “Par valsts budžetu 2023. gadam un budžeta ietvaru 2023., 2024. un 2025. gadam” ir stājies spēkā, lūdzam precizēt anotācijas 3.sadaļā sniegto informāciju, svītrojot norādi par pagaidu budžetu un finansējumu turpmākajiem gadiem norādot ailēs “saskaņā ar vidēja termiņa budžeta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precizēt norādīto finansējuma apmēru katram gadam sadalījumā pa intervenču veidiem, jo tas kopsummā neveido 658 000 </w:t>
            </w:r>
            <w:r w:rsidR="00000000" w:rsidRPr="00000000" w:rsidDel="00000000">
              <w:rPr>
                <w:i w:val="1"/>
                <w:rtl w:val="0"/>
              </w:rPr>
              <w:t xml:space="preserve">euro</w:t>
            </w:r>
            <w:r w:rsidR="00000000" w:rsidRPr="00000000" w:rsidDel="00000000">
              <w:rPr>
                <w:rtl w:val="0"/>
              </w:rPr>
              <w:t xml:space="preserve">, kas ir plānotais kopējais katra gada finansējums pasākuma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22-TA-3692</w:t>
    </w:r>
    <w:r>
      <w:br/>
    </w:r>
    <w:r w:rsidR="00000000" w:rsidRPr="00000000" w:rsidDel="00000000">
      <w:rPr>
        <w:rtl w:val="0"/>
      </w:rPr>
      <w:t xml:space="preserve">Izdrukāts 22.03.2023.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22-TA-3692</w:t>
    </w:r>
    <w:r>
      <w:br/>
    </w:r>
    <w:r w:rsidR="00000000" w:rsidRPr="00000000" w:rsidDel="00000000">
      <w:rPr>
        <w:rtl w:val="0"/>
      </w:rPr>
      <w:t xml:space="preserve">Izdrukāts 22.03.2023.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Atzinumi_22-TA-3692.docx</dc:title>
</cp:coreProperties>
</file>

<file path=docProps/custom.xml><?xml version="1.0" encoding="utf-8"?>
<Properties xmlns="http://schemas.openxmlformats.org/officeDocument/2006/custom-properties" xmlns:vt="http://schemas.openxmlformats.org/officeDocument/2006/docPropsVTypes"/>
</file>